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CFF" w:rsidRPr="00500449" w:rsidRDefault="003643EF" w:rsidP="003643EF">
      <w:pPr>
        <w:rPr>
          <w:rStyle w:val="Heading1Char"/>
          <w:lang w:val="en-AU"/>
        </w:rPr>
      </w:pPr>
      <w:r w:rsidRPr="00500449">
        <w:rPr>
          <w:rStyle w:val="Heading1Char"/>
          <w:lang w:val="en-AU"/>
        </w:rPr>
        <w:t xml:space="preserve">A </w:t>
      </w:r>
      <w:r w:rsidR="00363F81">
        <w:rPr>
          <w:rStyle w:val="Heading1Char"/>
          <w:lang w:val="en-AU"/>
        </w:rPr>
        <w:t>u</w:t>
      </w:r>
      <w:r w:rsidR="000F0381">
        <w:rPr>
          <w:rStyle w:val="Heading1Char"/>
          <w:lang w:val="en-AU"/>
        </w:rPr>
        <w:t xml:space="preserve">nique </w:t>
      </w:r>
      <w:r w:rsidR="00363F81">
        <w:rPr>
          <w:rStyle w:val="Heading1Char"/>
          <w:lang w:val="en-AU"/>
        </w:rPr>
        <w:t>o</w:t>
      </w:r>
      <w:r w:rsidRPr="00500449">
        <w:rPr>
          <w:rStyle w:val="Heading1Char"/>
          <w:lang w:val="en-AU"/>
        </w:rPr>
        <w:t>ffering to Business Owners</w:t>
      </w:r>
    </w:p>
    <w:p w:rsidR="005C5C3A" w:rsidRPr="00500449" w:rsidRDefault="005C5C3A" w:rsidP="005C5C3A">
      <w:pPr>
        <w:pStyle w:val="Heading2"/>
        <w:rPr>
          <w:lang w:val="en-AU"/>
        </w:rPr>
      </w:pPr>
      <w:bookmarkStart w:id="0" w:name="_Toc363669155"/>
      <w:bookmarkStart w:id="1" w:name="_Toc363669320"/>
      <w:r w:rsidRPr="00500449">
        <w:rPr>
          <w:lang w:val="en-AU"/>
        </w:rPr>
        <w:t xml:space="preserve">Why conduct A </w:t>
      </w:r>
      <w:r w:rsidR="00010915" w:rsidRPr="00500449">
        <w:rPr>
          <w:lang w:val="en-AU"/>
        </w:rPr>
        <w:t>Divestment Readiness Assessment</w:t>
      </w:r>
      <w:r w:rsidRPr="00500449">
        <w:rPr>
          <w:lang w:val="en-AU"/>
        </w:rPr>
        <w:t>?</w:t>
      </w:r>
      <w:bookmarkEnd w:id="0"/>
      <w:bookmarkEnd w:id="1"/>
    </w:p>
    <w:p w:rsidR="00923AE3" w:rsidRPr="00500449" w:rsidRDefault="00923AE3" w:rsidP="00923AE3">
      <w:pPr>
        <w:jc w:val="center"/>
        <w:rPr>
          <w:rFonts w:ascii="Century Gothic" w:hAnsi="Century Gothic"/>
          <w:b/>
          <w:i/>
          <w:sz w:val="20"/>
          <w:szCs w:val="20"/>
          <w:lang w:val="en-AU"/>
        </w:rPr>
      </w:pPr>
    </w:p>
    <w:p w:rsidR="005C5C3A" w:rsidRPr="00500449" w:rsidRDefault="005C5C3A" w:rsidP="00923AE3">
      <w:pPr>
        <w:jc w:val="center"/>
        <w:rPr>
          <w:rFonts w:ascii="Century Gothic" w:hAnsi="Century Gothic"/>
          <w:b/>
          <w:i/>
          <w:sz w:val="20"/>
          <w:szCs w:val="20"/>
          <w:lang w:val="en-AU"/>
        </w:rPr>
      </w:pPr>
      <w:r w:rsidRPr="00500449">
        <w:rPr>
          <w:rFonts w:ascii="Century Gothic" w:hAnsi="Century Gothic"/>
          <w:b/>
          <w:i/>
          <w:sz w:val="20"/>
          <w:szCs w:val="20"/>
          <w:lang w:val="en-AU"/>
        </w:rPr>
        <w:t>70% of owners of small and medium businesses will seek to exit their business over the next 10 years.</w:t>
      </w:r>
    </w:p>
    <w:p w:rsidR="005C5C3A" w:rsidRPr="00500449" w:rsidRDefault="005C5C3A" w:rsidP="005C5C3A">
      <w:pPr>
        <w:rPr>
          <w:rFonts w:ascii="Century Gothic" w:hAnsi="Century Gothic"/>
          <w:sz w:val="20"/>
          <w:szCs w:val="20"/>
          <w:lang w:val="en-AU"/>
        </w:rPr>
      </w:pPr>
    </w:p>
    <w:p w:rsidR="005C5C3A" w:rsidRPr="00500449" w:rsidRDefault="005C5C3A" w:rsidP="005C5C3A">
      <w:pPr>
        <w:rPr>
          <w:rFonts w:ascii="Century Gothic" w:hAnsi="Century Gothic"/>
          <w:sz w:val="20"/>
          <w:szCs w:val="20"/>
          <w:lang w:val="en-AU"/>
        </w:rPr>
      </w:pPr>
      <w:r w:rsidRPr="00500449">
        <w:rPr>
          <w:rFonts w:ascii="Century Gothic" w:hAnsi="Century Gothic"/>
          <w:sz w:val="20"/>
          <w:szCs w:val="20"/>
          <w:lang w:val="en-AU"/>
        </w:rPr>
        <w:t xml:space="preserve">Approximately 80% of Australian businesses are owned by baby boomers, who tend to have most of their wealth locked in their business. As baby boomers enter their 60s and 70s over the coming decade most will need to exit their businesses to unlock funds for retirement. </w:t>
      </w:r>
    </w:p>
    <w:p w:rsidR="005C5C3A" w:rsidRPr="00500449" w:rsidRDefault="005C5C3A" w:rsidP="005C5C3A">
      <w:pPr>
        <w:rPr>
          <w:rFonts w:ascii="Century Gothic" w:hAnsi="Century Gothic"/>
          <w:sz w:val="20"/>
          <w:szCs w:val="20"/>
          <w:lang w:val="en-AU"/>
        </w:rPr>
      </w:pPr>
    </w:p>
    <w:p w:rsidR="005C5C3A" w:rsidRPr="00500449" w:rsidRDefault="005C5C3A" w:rsidP="005C5C3A">
      <w:pPr>
        <w:rPr>
          <w:rFonts w:ascii="Century Gothic" w:hAnsi="Century Gothic"/>
          <w:sz w:val="20"/>
          <w:szCs w:val="20"/>
          <w:lang w:val="en-AU"/>
        </w:rPr>
      </w:pPr>
      <w:r w:rsidRPr="00500449">
        <w:rPr>
          <w:rFonts w:ascii="Century Gothic" w:hAnsi="Century Gothic"/>
          <w:sz w:val="20"/>
          <w:szCs w:val="20"/>
          <w:lang w:val="en-AU"/>
        </w:rPr>
        <w:t>As a result, more than two-thirds of all Australian SMEs will seek to exit within a single decade, flooding the market with businesses for sale  – creating what is being referred to as the “Baby Boomer Tsunami”.</w:t>
      </w:r>
    </w:p>
    <w:p w:rsidR="005C5C3A" w:rsidRPr="00500449" w:rsidRDefault="005C5C3A" w:rsidP="005C5C3A">
      <w:pPr>
        <w:rPr>
          <w:rFonts w:ascii="Century Gothic" w:hAnsi="Century Gothic"/>
          <w:sz w:val="20"/>
          <w:szCs w:val="20"/>
          <w:lang w:val="en-AU"/>
        </w:rPr>
      </w:pPr>
    </w:p>
    <w:p w:rsidR="005C5C3A" w:rsidRPr="00500449" w:rsidRDefault="005C5C3A" w:rsidP="005C5C3A">
      <w:pPr>
        <w:rPr>
          <w:rFonts w:ascii="Century Gothic" w:hAnsi="Century Gothic"/>
          <w:sz w:val="20"/>
          <w:szCs w:val="20"/>
          <w:lang w:val="en-AU"/>
        </w:rPr>
      </w:pPr>
      <w:r w:rsidRPr="00500449">
        <w:rPr>
          <w:rFonts w:ascii="Century Gothic" w:hAnsi="Century Gothic"/>
          <w:sz w:val="20"/>
          <w:szCs w:val="20"/>
          <w:lang w:val="en-AU"/>
        </w:rPr>
        <w:t>With so many businesses for sale on the market, many owners will be unable to exit - or sell for fair value, leaving them with significantly reduced funds for retirement.</w:t>
      </w:r>
    </w:p>
    <w:p w:rsidR="005C5C3A" w:rsidRPr="00500449" w:rsidRDefault="005C5C3A" w:rsidP="005C5C3A">
      <w:pPr>
        <w:rPr>
          <w:rFonts w:ascii="Century Gothic" w:hAnsi="Century Gothic"/>
          <w:sz w:val="20"/>
          <w:szCs w:val="20"/>
          <w:lang w:val="en-AU"/>
        </w:rPr>
      </w:pPr>
    </w:p>
    <w:p w:rsidR="005C5C3A" w:rsidRPr="00500449" w:rsidRDefault="005C5C3A" w:rsidP="005C5C3A">
      <w:pPr>
        <w:rPr>
          <w:rFonts w:ascii="Century Gothic" w:hAnsi="Century Gothic"/>
          <w:sz w:val="20"/>
          <w:szCs w:val="20"/>
          <w:lang w:val="en-AU"/>
        </w:rPr>
      </w:pPr>
      <w:r w:rsidRPr="00500449">
        <w:rPr>
          <w:rFonts w:ascii="Century Gothic" w:hAnsi="Century Gothic"/>
          <w:sz w:val="20"/>
          <w:szCs w:val="20"/>
          <w:lang w:val="en-AU"/>
        </w:rPr>
        <w:t>To unlock the maximum value within what is in most cases, their largest asset, owners must ensure their businesses are exceptionally well prepared and ready for sale. Given that 75% of business owners have no exit strategy, Australian private companies will need to act to avert a crisis.</w:t>
      </w:r>
    </w:p>
    <w:p w:rsidR="005C5C3A" w:rsidRPr="00500449" w:rsidRDefault="005C5C3A" w:rsidP="005C5C3A">
      <w:pPr>
        <w:rPr>
          <w:rFonts w:ascii="Century Gothic" w:hAnsi="Century Gothic"/>
          <w:b/>
          <w:color w:val="1F497D" w:themeColor="text2"/>
          <w:sz w:val="20"/>
          <w:szCs w:val="20"/>
          <w:lang w:val="en-AU"/>
        </w:rPr>
      </w:pPr>
    </w:p>
    <w:p w:rsidR="005C5C3A" w:rsidRPr="00500449" w:rsidRDefault="005C5C3A" w:rsidP="005C5C3A">
      <w:pPr>
        <w:pStyle w:val="Heading2"/>
        <w:rPr>
          <w:lang w:val="en-AU"/>
        </w:rPr>
      </w:pPr>
      <w:bookmarkStart w:id="2" w:name="_Toc363669156"/>
      <w:bookmarkStart w:id="3" w:name="_Toc363669321"/>
      <w:r w:rsidRPr="00500449">
        <w:rPr>
          <w:lang w:val="en-AU"/>
        </w:rPr>
        <w:t xml:space="preserve">What is A </w:t>
      </w:r>
      <w:r w:rsidR="00010915" w:rsidRPr="00500449">
        <w:rPr>
          <w:lang w:val="en-AU"/>
        </w:rPr>
        <w:t>Divestment Readiness Assessment</w:t>
      </w:r>
      <w:r w:rsidRPr="00500449">
        <w:rPr>
          <w:lang w:val="en-AU"/>
        </w:rPr>
        <w:t>?</w:t>
      </w:r>
      <w:bookmarkEnd w:id="2"/>
      <w:bookmarkEnd w:id="3"/>
    </w:p>
    <w:p w:rsidR="00F771A1" w:rsidRPr="00500449" w:rsidRDefault="00F771A1" w:rsidP="008E00C6">
      <w:pPr>
        <w:jc w:val="center"/>
        <w:rPr>
          <w:rFonts w:ascii="Century Gothic" w:hAnsi="Century Gothic"/>
          <w:b/>
          <w:i/>
          <w:sz w:val="20"/>
          <w:szCs w:val="20"/>
          <w:lang w:val="en-AU"/>
        </w:rPr>
      </w:pPr>
    </w:p>
    <w:p w:rsidR="008E00C6" w:rsidRPr="00500449" w:rsidRDefault="00923AE3" w:rsidP="008E00C6">
      <w:pPr>
        <w:jc w:val="center"/>
        <w:rPr>
          <w:rFonts w:ascii="Century Gothic" w:hAnsi="Century Gothic"/>
          <w:b/>
          <w:i/>
          <w:sz w:val="20"/>
          <w:szCs w:val="20"/>
          <w:lang w:val="en-AU"/>
        </w:rPr>
      </w:pPr>
      <w:r w:rsidRPr="00500449">
        <w:rPr>
          <w:rFonts w:ascii="Century Gothic" w:hAnsi="Century Gothic"/>
          <w:b/>
          <w:i/>
          <w:sz w:val="20"/>
          <w:szCs w:val="20"/>
          <w:lang w:val="en-AU"/>
        </w:rPr>
        <w:t>The</w:t>
      </w:r>
      <w:r w:rsidR="005C5C3A" w:rsidRPr="00500449">
        <w:rPr>
          <w:rFonts w:ascii="Century Gothic" w:hAnsi="Century Gothic"/>
          <w:b/>
          <w:i/>
          <w:sz w:val="20"/>
          <w:szCs w:val="20"/>
          <w:lang w:val="en-AU"/>
        </w:rPr>
        <w:t xml:space="preserve"> </w:t>
      </w:r>
      <w:r w:rsidR="00010915" w:rsidRPr="00500449">
        <w:rPr>
          <w:rFonts w:ascii="Century Gothic" w:hAnsi="Century Gothic"/>
          <w:b/>
          <w:i/>
          <w:sz w:val="20"/>
          <w:szCs w:val="20"/>
          <w:lang w:val="en-AU"/>
        </w:rPr>
        <w:t>Divestment Readiness Assessment</w:t>
      </w:r>
      <w:r w:rsidR="005C5C3A" w:rsidRPr="00500449">
        <w:rPr>
          <w:rFonts w:ascii="Century Gothic" w:hAnsi="Century Gothic"/>
          <w:b/>
          <w:i/>
          <w:sz w:val="20"/>
          <w:szCs w:val="20"/>
          <w:lang w:val="en-AU"/>
        </w:rPr>
        <w:t xml:space="preserve"> </w:t>
      </w:r>
      <w:r w:rsidR="00985D9D" w:rsidRPr="00500449">
        <w:rPr>
          <w:rFonts w:ascii="Century Gothic" w:hAnsi="Century Gothic"/>
          <w:b/>
          <w:i/>
          <w:sz w:val="20"/>
          <w:szCs w:val="20"/>
          <w:lang w:val="en-AU"/>
        </w:rPr>
        <w:t>(</w:t>
      </w:r>
      <w:r w:rsidR="00010915" w:rsidRPr="00500449">
        <w:rPr>
          <w:rFonts w:ascii="Century Gothic" w:hAnsi="Century Gothic"/>
          <w:b/>
          <w:i/>
          <w:sz w:val="20"/>
          <w:szCs w:val="20"/>
          <w:lang w:val="en-AU"/>
        </w:rPr>
        <w:t>DRA</w:t>
      </w:r>
      <w:r w:rsidR="00985D9D" w:rsidRPr="00500449">
        <w:rPr>
          <w:rFonts w:ascii="Century Gothic" w:hAnsi="Century Gothic"/>
          <w:b/>
          <w:i/>
          <w:sz w:val="20"/>
          <w:szCs w:val="20"/>
          <w:lang w:val="en-AU"/>
        </w:rPr>
        <w:t xml:space="preserve">) </w:t>
      </w:r>
      <w:r w:rsidR="005C5C3A" w:rsidRPr="00500449">
        <w:rPr>
          <w:rFonts w:ascii="Century Gothic" w:hAnsi="Century Gothic"/>
          <w:b/>
          <w:i/>
          <w:sz w:val="20"/>
          <w:szCs w:val="20"/>
          <w:lang w:val="en-AU"/>
        </w:rPr>
        <w:t xml:space="preserve">provides an </w:t>
      </w:r>
      <w:r w:rsidRPr="00500449">
        <w:rPr>
          <w:rFonts w:ascii="Century Gothic" w:hAnsi="Century Gothic"/>
          <w:b/>
          <w:i/>
          <w:sz w:val="20"/>
          <w:szCs w:val="20"/>
          <w:lang w:val="en-AU"/>
        </w:rPr>
        <w:t xml:space="preserve">independent </w:t>
      </w:r>
      <w:r w:rsidR="005C5C3A" w:rsidRPr="00500449">
        <w:rPr>
          <w:rFonts w:ascii="Century Gothic" w:hAnsi="Century Gothic"/>
          <w:b/>
          <w:i/>
          <w:sz w:val="20"/>
          <w:szCs w:val="20"/>
          <w:lang w:val="en-AU"/>
        </w:rPr>
        <w:t>assessment of</w:t>
      </w:r>
      <w:r w:rsidRPr="00500449">
        <w:rPr>
          <w:rFonts w:ascii="Century Gothic" w:hAnsi="Century Gothic"/>
          <w:b/>
          <w:i/>
          <w:sz w:val="20"/>
          <w:szCs w:val="20"/>
          <w:lang w:val="en-AU"/>
        </w:rPr>
        <w:t xml:space="preserve"> the </w:t>
      </w:r>
      <w:r w:rsidR="008E00C6" w:rsidRPr="00500449">
        <w:rPr>
          <w:rFonts w:ascii="Century Gothic" w:hAnsi="Century Gothic"/>
          <w:b/>
          <w:i/>
          <w:sz w:val="20"/>
          <w:szCs w:val="20"/>
          <w:lang w:val="en-AU"/>
        </w:rPr>
        <w:t>readiness</w:t>
      </w:r>
      <w:r w:rsidRPr="00500449">
        <w:rPr>
          <w:rFonts w:ascii="Century Gothic" w:hAnsi="Century Gothic"/>
          <w:b/>
          <w:i/>
          <w:sz w:val="20"/>
          <w:szCs w:val="20"/>
          <w:lang w:val="en-AU"/>
        </w:rPr>
        <w:t xml:space="preserve"> of </w:t>
      </w:r>
      <w:r w:rsidR="00F771A1" w:rsidRPr="00500449">
        <w:rPr>
          <w:rFonts w:ascii="Century Gothic" w:hAnsi="Century Gothic"/>
          <w:b/>
          <w:i/>
          <w:sz w:val="20"/>
          <w:szCs w:val="20"/>
          <w:lang w:val="en-AU"/>
        </w:rPr>
        <w:t>a</w:t>
      </w:r>
      <w:r w:rsidRPr="00500449">
        <w:rPr>
          <w:rFonts w:ascii="Century Gothic" w:hAnsi="Century Gothic"/>
          <w:b/>
          <w:i/>
          <w:sz w:val="20"/>
          <w:szCs w:val="20"/>
          <w:lang w:val="en-AU"/>
        </w:rPr>
        <w:t xml:space="preserve"> business</w:t>
      </w:r>
      <w:r w:rsidR="008E00C6" w:rsidRPr="00500449">
        <w:rPr>
          <w:rFonts w:ascii="Century Gothic" w:hAnsi="Century Gothic"/>
          <w:b/>
          <w:i/>
          <w:sz w:val="20"/>
          <w:szCs w:val="20"/>
          <w:lang w:val="en-AU"/>
        </w:rPr>
        <w:t xml:space="preserve"> for sale and </w:t>
      </w:r>
      <w:r w:rsidR="003F1BB1" w:rsidRPr="00500449">
        <w:rPr>
          <w:rFonts w:ascii="Century Gothic" w:hAnsi="Century Gothic"/>
          <w:b/>
          <w:i/>
          <w:sz w:val="20"/>
          <w:szCs w:val="20"/>
          <w:lang w:val="en-AU"/>
        </w:rPr>
        <w:t>where</w:t>
      </w:r>
      <w:r w:rsidR="008E00C6" w:rsidRPr="00500449">
        <w:rPr>
          <w:rFonts w:ascii="Century Gothic" w:hAnsi="Century Gothic"/>
          <w:b/>
          <w:i/>
          <w:sz w:val="20"/>
          <w:szCs w:val="20"/>
          <w:lang w:val="en-AU"/>
        </w:rPr>
        <w:t xml:space="preserve"> </w:t>
      </w:r>
      <w:r w:rsidR="00F771A1" w:rsidRPr="00500449">
        <w:rPr>
          <w:rFonts w:ascii="Century Gothic" w:hAnsi="Century Gothic"/>
          <w:b/>
          <w:i/>
          <w:sz w:val="20"/>
          <w:szCs w:val="20"/>
          <w:lang w:val="en-AU"/>
        </w:rPr>
        <w:t>appropriate</w:t>
      </w:r>
      <w:r w:rsidR="008E00C6" w:rsidRPr="00500449">
        <w:rPr>
          <w:rFonts w:ascii="Century Gothic" w:hAnsi="Century Gothic"/>
          <w:b/>
          <w:i/>
          <w:sz w:val="20"/>
          <w:szCs w:val="20"/>
          <w:lang w:val="en-AU"/>
        </w:rPr>
        <w:t xml:space="preserve">, identifies </w:t>
      </w:r>
      <w:r w:rsidR="00F771A1" w:rsidRPr="00500449">
        <w:rPr>
          <w:rFonts w:ascii="Century Gothic" w:hAnsi="Century Gothic"/>
          <w:b/>
          <w:i/>
          <w:sz w:val="20"/>
          <w:szCs w:val="20"/>
          <w:lang w:val="en-AU"/>
        </w:rPr>
        <w:t xml:space="preserve">the </w:t>
      </w:r>
      <w:r w:rsidR="008E00C6" w:rsidRPr="00500449">
        <w:rPr>
          <w:rFonts w:ascii="Century Gothic" w:hAnsi="Century Gothic"/>
          <w:b/>
          <w:i/>
          <w:sz w:val="20"/>
          <w:szCs w:val="20"/>
          <w:lang w:val="en-AU"/>
        </w:rPr>
        <w:t>specific initiatives that would optimi</w:t>
      </w:r>
      <w:r w:rsidR="00500449">
        <w:rPr>
          <w:rFonts w:ascii="Century Gothic" w:hAnsi="Century Gothic"/>
          <w:b/>
          <w:i/>
          <w:sz w:val="20"/>
          <w:szCs w:val="20"/>
          <w:lang w:val="en-AU"/>
        </w:rPr>
        <w:t>s</w:t>
      </w:r>
      <w:r w:rsidR="008E00C6" w:rsidRPr="00500449">
        <w:rPr>
          <w:rFonts w:ascii="Century Gothic" w:hAnsi="Century Gothic"/>
          <w:b/>
          <w:i/>
          <w:sz w:val="20"/>
          <w:szCs w:val="20"/>
          <w:lang w:val="en-AU"/>
        </w:rPr>
        <w:t>e the sale outcome</w:t>
      </w:r>
      <w:r w:rsidR="00F771A1" w:rsidRPr="00500449">
        <w:rPr>
          <w:rFonts w:ascii="Century Gothic" w:hAnsi="Century Gothic"/>
          <w:b/>
          <w:i/>
          <w:sz w:val="20"/>
          <w:szCs w:val="20"/>
          <w:lang w:val="en-AU"/>
        </w:rPr>
        <w:t xml:space="preserve"> for the business owner</w:t>
      </w:r>
      <w:r w:rsidR="008E00C6" w:rsidRPr="00500449">
        <w:rPr>
          <w:rFonts w:ascii="Century Gothic" w:hAnsi="Century Gothic"/>
          <w:b/>
          <w:i/>
          <w:sz w:val="20"/>
          <w:szCs w:val="20"/>
          <w:lang w:val="en-AU"/>
        </w:rPr>
        <w:t>.</w:t>
      </w:r>
    </w:p>
    <w:p w:rsidR="008E00C6" w:rsidRPr="00500449" w:rsidRDefault="008E00C6" w:rsidP="005C5C3A">
      <w:pPr>
        <w:rPr>
          <w:rFonts w:ascii="Century Gothic" w:hAnsi="Century Gothic"/>
          <w:sz w:val="20"/>
          <w:szCs w:val="20"/>
          <w:lang w:val="en-AU"/>
        </w:rPr>
      </w:pPr>
    </w:p>
    <w:p w:rsidR="00923AE3" w:rsidRPr="00500449" w:rsidRDefault="00923AE3" w:rsidP="005C5C3A">
      <w:pPr>
        <w:rPr>
          <w:rFonts w:ascii="Century Gothic" w:hAnsi="Century Gothic"/>
          <w:sz w:val="20"/>
          <w:szCs w:val="20"/>
          <w:lang w:val="en-AU"/>
        </w:rPr>
      </w:pPr>
      <w:r w:rsidRPr="00500449">
        <w:rPr>
          <w:rFonts w:ascii="Century Gothic" w:hAnsi="Century Gothic"/>
          <w:sz w:val="20"/>
          <w:szCs w:val="20"/>
          <w:lang w:val="en-AU"/>
        </w:rPr>
        <w:t>The DRA is conducted by consulting professionals and is supported by M&amp;A Specialists.</w:t>
      </w:r>
      <w:r w:rsidR="00F771A1" w:rsidRPr="00500449">
        <w:rPr>
          <w:rFonts w:ascii="Century Gothic" w:hAnsi="Century Gothic"/>
          <w:sz w:val="20"/>
          <w:szCs w:val="20"/>
          <w:lang w:val="en-AU"/>
        </w:rPr>
        <w:t xml:space="preserve"> It </w:t>
      </w:r>
      <w:r w:rsidR="00157CBF" w:rsidRPr="00500449">
        <w:rPr>
          <w:rFonts w:ascii="Century Gothic" w:hAnsi="Century Gothic"/>
          <w:sz w:val="20"/>
          <w:szCs w:val="20"/>
          <w:lang w:val="en-AU"/>
        </w:rPr>
        <w:t xml:space="preserve">provides the </w:t>
      </w:r>
      <w:r w:rsidR="00F771A1" w:rsidRPr="00500449">
        <w:rPr>
          <w:rFonts w:ascii="Century Gothic" w:hAnsi="Century Gothic"/>
          <w:sz w:val="20"/>
          <w:szCs w:val="20"/>
          <w:lang w:val="en-AU"/>
        </w:rPr>
        <w:t>business owner</w:t>
      </w:r>
      <w:r w:rsidR="00157CBF" w:rsidRPr="00500449">
        <w:rPr>
          <w:rFonts w:ascii="Century Gothic" w:hAnsi="Century Gothic"/>
          <w:sz w:val="20"/>
          <w:szCs w:val="20"/>
          <w:lang w:val="en-AU"/>
        </w:rPr>
        <w:t xml:space="preserve"> with the following</w:t>
      </w:r>
      <w:r w:rsidRPr="00500449">
        <w:rPr>
          <w:rFonts w:ascii="Century Gothic" w:hAnsi="Century Gothic"/>
          <w:sz w:val="20"/>
          <w:szCs w:val="20"/>
          <w:lang w:val="en-AU"/>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487"/>
        <w:gridCol w:w="3991"/>
      </w:tblGrid>
      <w:tr w:rsidR="00923AE3" w:rsidRPr="00500449" w:rsidTr="00333720">
        <w:tc>
          <w:tcPr>
            <w:tcW w:w="6487" w:type="dxa"/>
          </w:tcPr>
          <w:p w:rsidR="00AF0996" w:rsidRPr="00500449" w:rsidRDefault="00923AE3" w:rsidP="00F56716">
            <w:pPr>
              <w:pStyle w:val="ListParagraph"/>
              <w:numPr>
                <w:ilvl w:val="0"/>
                <w:numId w:val="1"/>
              </w:numPr>
              <w:rPr>
                <w:rFonts w:ascii="Century Gothic" w:hAnsi="Century Gothic"/>
                <w:sz w:val="20"/>
                <w:szCs w:val="20"/>
              </w:rPr>
            </w:pPr>
            <w:r w:rsidRPr="00500449">
              <w:rPr>
                <w:rFonts w:ascii="Century Gothic" w:hAnsi="Century Gothic"/>
                <w:sz w:val="20"/>
                <w:szCs w:val="20"/>
              </w:rPr>
              <w:t xml:space="preserve">The </w:t>
            </w:r>
            <w:r w:rsidR="00AF0996" w:rsidRPr="00500449">
              <w:rPr>
                <w:rFonts w:ascii="Century Gothic" w:hAnsi="Century Gothic"/>
                <w:sz w:val="20"/>
                <w:szCs w:val="20"/>
              </w:rPr>
              <w:t>overall preparedness of their business for sale in the short-term. This considers 2 dimensions:</w:t>
            </w:r>
          </w:p>
          <w:p w:rsidR="00AF0996" w:rsidRPr="00500449" w:rsidRDefault="00AF0996" w:rsidP="00F56716">
            <w:pPr>
              <w:pStyle w:val="ListParagraph"/>
              <w:numPr>
                <w:ilvl w:val="1"/>
                <w:numId w:val="1"/>
              </w:numPr>
              <w:rPr>
                <w:rFonts w:ascii="Century Gothic" w:hAnsi="Century Gothic"/>
                <w:sz w:val="20"/>
                <w:szCs w:val="20"/>
              </w:rPr>
            </w:pPr>
            <w:r w:rsidRPr="00500449">
              <w:rPr>
                <w:rFonts w:ascii="Century Gothic" w:hAnsi="Century Gothic"/>
                <w:sz w:val="20"/>
                <w:szCs w:val="20"/>
              </w:rPr>
              <w:t>The relative ease with which the business can be sold based on its current structure in the current market, and</w:t>
            </w:r>
          </w:p>
          <w:p w:rsidR="00923AE3" w:rsidRPr="00500449" w:rsidRDefault="00AF0996" w:rsidP="00F56716">
            <w:pPr>
              <w:pStyle w:val="ListParagraph"/>
              <w:numPr>
                <w:ilvl w:val="1"/>
                <w:numId w:val="1"/>
              </w:numPr>
              <w:rPr>
                <w:rFonts w:ascii="Century Gothic" w:hAnsi="Century Gothic"/>
                <w:sz w:val="20"/>
                <w:szCs w:val="20"/>
              </w:rPr>
            </w:pPr>
            <w:r w:rsidRPr="00500449">
              <w:rPr>
                <w:rFonts w:ascii="Century Gothic" w:hAnsi="Century Gothic"/>
                <w:sz w:val="20"/>
                <w:szCs w:val="20"/>
              </w:rPr>
              <w:t>The relative financial performance of the business compared with its potential.</w:t>
            </w:r>
          </w:p>
        </w:tc>
        <w:tc>
          <w:tcPr>
            <w:tcW w:w="3991" w:type="dxa"/>
          </w:tcPr>
          <w:p w:rsidR="00923AE3" w:rsidRPr="00500449" w:rsidRDefault="00AF0996" w:rsidP="00AF0996">
            <w:pPr>
              <w:jc w:val="right"/>
              <w:rPr>
                <w:rFonts w:ascii="Century Gothic" w:hAnsi="Century Gothic"/>
                <w:sz w:val="20"/>
                <w:szCs w:val="20"/>
                <w:lang w:val="en-AU"/>
              </w:rPr>
            </w:pPr>
            <w:r w:rsidRPr="00500449">
              <w:rPr>
                <w:rFonts w:ascii="Century Gothic" w:hAnsi="Century Gothic"/>
                <w:noProof/>
                <w:sz w:val="20"/>
                <w:szCs w:val="20"/>
                <w:lang w:val="en-AU" w:eastAsia="en-AU"/>
              </w:rPr>
              <w:drawing>
                <wp:inline distT="0" distB="0" distL="0" distR="0">
                  <wp:extent cx="2429528" cy="1447800"/>
                  <wp:effectExtent l="19050" t="0" r="8872"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32110" cy="1449339"/>
                          </a:xfrm>
                          <a:prstGeom prst="rect">
                            <a:avLst/>
                          </a:prstGeom>
                          <a:noFill/>
                          <a:ln w="9525">
                            <a:noFill/>
                            <a:miter lim="800000"/>
                            <a:headEnd/>
                            <a:tailEnd/>
                          </a:ln>
                        </pic:spPr>
                      </pic:pic>
                    </a:graphicData>
                  </a:graphic>
                </wp:inline>
              </w:drawing>
            </w:r>
          </w:p>
        </w:tc>
      </w:tr>
      <w:tr w:rsidR="007655E9" w:rsidRPr="00500449" w:rsidTr="00333720">
        <w:tc>
          <w:tcPr>
            <w:tcW w:w="6487" w:type="dxa"/>
          </w:tcPr>
          <w:p w:rsidR="007655E9" w:rsidRPr="00500449" w:rsidRDefault="007655E9" w:rsidP="00F56716">
            <w:pPr>
              <w:pStyle w:val="ListParagraph"/>
              <w:numPr>
                <w:ilvl w:val="0"/>
                <w:numId w:val="1"/>
              </w:numPr>
              <w:rPr>
                <w:rFonts w:ascii="Century Gothic" w:hAnsi="Century Gothic"/>
                <w:sz w:val="20"/>
                <w:szCs w:val="20"/>
              </w:rPr>
            </w:pPr>
            <w:r w:rsidRPr="00500449">
              <w:rPr>
                <w:rFonts w:ascii="Century Gothic" w:hAnsi="Century Gothic"/>
                <w:sz w:val="20"/>
                <w:szCs w:val="20"/>
              </w:rPr>
              <w:t>An appraisal that provides the assessed value range of the business in its current state if presented to market in the short-term. The appraisal considers the attractiveness of the business to a variety of buyers such as financial investors and industry acquirers.</w:t>
            </w:r>
          </w:p>
        </w:tc>
        <w:tc>
          <w:tcPr>
            <w:tcW w:w="3991" w:type="dxa"/>
          </w:tcPr>
          <w:p w:rsidR="007655E9" w:rsidRPr="00500449" w:rsidRDefault="007655E9" w:rsidP="00AF0996">
            <w:pPr>
              <w:jc w:val="right"/>
              <w:rPr>
                <w:rFonts w:ascii="Century Gothic" w:hAnsi="Century Gothic"/>
                <w:noProof/>
                <w:sz w:val="20"/>
                <w:szCs w:val="20"/>
                <w:lang w:val="en-AU" w:eastAsia="en-AU"/>
              </w:rPr>
            </w:pPr>
          </w:p>
        </w:tc>
      </w:tr>
      <w:tr w:rsidR="007655E9" w:rsidRPr="00500449" w:rsidTr="00333720">
        <w:tc>
          <w:tcPr>
            <w:tcW w:w="6487" w:type="dxa"/>
          </w:tcPr>
          <w:p w:rsidR="00157CBF" w:rsidRPr="00500449" w:rsidRDefault="007655E9" w:rsidP="00F56716">
            <w:pPr>
              <w:pStyle w:val="ListParagraph"/>
              <w:numPr>
                <w:ilvl w:val="0"/>
                <w:numId w:val="1"/>
              </w:numPr>
              <w:rPr>
                <w:rFonts w:ascii="Century Gothic" w:hAnsi="Century Gothic"/>
                <w:sz w:val="20"/>
                <w:szCs w:val="20"/>
              </w:rPr>
            </w:pPr>
            <w:r w:rsidRPr="00500449">
              <w:rPr>
                <w:rFonts w:ascii="Century Gothic" w:hAnsi="Century Gothic"/>
                <w:sz w:val="20"/>
                <w:szCs w:val="20"/>
              </w:rPr>
              <w:lastRenderedPageBreak/>
              <w:t xml:space="preserve">The high priority initiatives that would make the business more saleable and/or substantially improve the anticipated sale price of the business. </w:t>
            </w:r>
          </w:p>
          <w:p w:rsidR="00157CBF" w:rsidRPr="00500449" w:rsidRDefault="00157CBF" w:rsidP="00157CBF">
            <w:pPr>
              <w:rPr>
                <w:rFonts w:ascii="Century Gothic" w:hAnsi="Century Gothic"/>
                <w:sz w:val="20"/>
                <w:szCs w:val="20"/>
                <w:lang w:val="en-AU"/>
              </w:rPr>
            </w:pPr>
          </w:p>
          <w:p w:rsidR="007655E9" w:rsidRPr="00500449" w:rsidRDefault="007655E9" w:rsidP="00157CBF">
            <w:pPr>
              <w:ind w:left="360"/>
              <w:rPr>
                <w:rFonts w:ascii="Century Gothic" w:hAnsi="Century Gothic"/>
                <w:sz w:val="20"/>
                <w:szCs w:val="20"/>
                <w:lang w:val="en-AU"/>
              </w:rPr>
            </w:pPr>
            <w:r w:rsidRPr="00500449">
              <w:rPr>
                <w:rFonts w:ascii="Century Gothic" w:hAnsi="Century Gothic"/>
                <w:sz w:val="20"/>
                <w:szCs w:val="20"/>
                <w:lang w:val="en-AU"/>
              </w:rPr>
              <w:t>The Divestment Readiness Assessment is focused on identifying those initiatives that will substantially enhance the sale outcome for the owner – as opposed to general business improvement.</w:t>
            </w:r>
          </w:p>
        </w:tc>
        <w:tc>
          <w:tcPr>
            <w:tcW w:w="3991" w:type="dxa"/>
          </w:tcPr>
          <w:p w:rsidR="007655E9" w:rsidRPr="00500449" w:rsidRDefault="00157CBF" w:rsidP="00AF0996">
            <w:pPr>
              <w:jc w:val="right"/>
              <w:rPr>
                <w:rFonts w:ascii="Century Gothic" w:hAnsi="Century Gothic"/>
                <w:noProof/>
                <w:sz w:val="20"/>
                <w:szCs w:val="20"/>
                <w:lang w:val="en-AU" w:eastAsia="en-AU"/>
              </w:rPr>
            </w:pPr>
            <w:r w:rsidRPr="00500449">
              <w:rPr>
                <w:rFonts w:ascii="Century Gothic" w:hAnsi="Century Gothic"/>
                <w:noProof/>
                <w:sz w:val="20"/>
                <w:szCs w:val="20"/>
                <w:lang w:val="en-AU" w:eastAsia="en-AU"/>
              </w:rPr>
              <w:drawing>
                <wp:inline distT="0" distB="0" distL="0" distR="0">
                  <wp:extent cx="2438400" cy="1543911"/>
                  <wp:effectExtent l="19050" t="0" r="0" b="0"/>
                  <wp:docPr id="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2440483" cy="1545230"/>
                          </a:xfrm>
                          <a:prstGeom prst="rect">
                            <a:avLst/>
                          </a:prstGeom>
                          <a:noFill/>
                          <a:ln w="9525">
                            <a:noFill/>
                            <a:miter lim="800000"/>
                            <a:headEnd/>
                            <a:tailEnd/>
                          </a:ln>
                        </pic:spPr>
                      </pic:pic>
                    </a:graphicData>
                  </a:graphic>
                </wp:inline>
              </w:drawing>
            </w:r>
          </w:p>
        </w:tc>
      </w:tr>
      <w:tr w:rsidR="007655E9" w:rsidRPr="00500449" w:rsidTr="00333720">
        <w:tc>
          <w:tcPr>
            <w:tcW w:w="6487" w:type="dxa"/>
          </w:tcPr>
          <w:p w:rsidR="007655E9" w:rsidRPr="00500449" w:rsidRDefault="00157CBF" w:rsidP="00F56716">
            <w:pPr>
              <w:pStyle w:val="ListParagraph"/>
              <w:numPr>
                <w:ilvl w:val="0"/>
                <w:numId w:val="1"/>
              </w:numPr>
              <w:rPr>
                <w:rFonts w:ascii="Century Gothic" w:hAnsi="Century Gothic"/>
                <w:sz w:val="20"/>
                <w:szCs w:val="20"/>
              </w:rPr>
            </w:pPr>
            <w:r w:rsidRPr="00500449">
              <w:rPr>
                <w:rFonts w:ascii="Century Gothic" w:hAnsi="Century Gothic"/>
                <w:sz w:val="20"/>
                <w:szCs w:val="20"/>
              </w:rPr>
              <w:t>An example of their business’ investment highlights as would be presented to the market if they wish to progress to a sale.</w:t>
            </w:r>
          </w:p>
        </w:tc>
        <w:tc>
          <w:tcPr>
            <w:tcW w:w="3991" w:type="dxa"/>
          </w:tcPr>
          <w:p w:rsidR="007655E9" w:rsidRPr="00500449" w:rsidRDefault="007655E9" w:rsidP="00AF0996">
            <w:pPr>
              <w:jc w:val="right"/>
              <w:rPr>
                <w:rFonts w:ascii="Century Gothic" w:hAnsi="Century Gothic"/>
                <w:noProof/>
                <w:sz w:val="20"/>
                <w:szCs w:val="20"/>
                <w:lang w:val="en-AU" w:eastAsia="en-AU"/>
              </w:rPr>
            </w:pPr>
          </w:p>
        </w:tc>
      </w:tr>
    </w:tbl>
    <w:p w:rsidR="00923AE3" w:rsidRPr="00500449" w:rsidRDefault="00923AE3" w:rsidP="005C5C3A">
      <w:pPr>
        <w:rPr>
          <w:rFonts w:ascii="Century Gothic" w:hAnsi="Century Gothic"/>
          <w:sz w:val="20"/>
          <w:szCs w:val="20"/>
          <w:lang w:val="en-AU"/>
        </w:rPr>
      </w:pPr>
    </w:p>
    <w:p w:rsidR="00157CBF" w:rsidRPr="00500449" w:rsidRDefault="005C5C3A" w:rsidP="005C5C3A">
      <w:pPr>
        <w:rPr>
          <w:rFonts w:ascii="Century Gothic" w:hAnsi="Century Gothic"/>
          <w:sz w:val="20"/>
          <w:szCs w:val="20"/>
          <w:lang w:val="en-AU"/>
        </w:rPr>
      </w:pPr>
      <w:r w:rsidRPr="00500449">
        <w:rPr>
          <w:rFonts w:ascii="Century Gothic" w:hAnsi="Century Gothic"/>
          <w:sz w:val="20"/>
          <w:szCs w:val="20"/>
          <w:lang w:val="en-AU"/>
        </w:rPr>
        <w:t xml:space="preserve">Additionally, if the </w:t>
      </w:r>
      <w:r w:rsidR="00157CBF" w:rsidRPr="00500449">
        <w:rPr>
          <w:rFonts w:ascii="Century Gothic" w:hAnsi="Century Gothic"/>
          <w:sz w:val="20"/>
          <w:szCs w:val="20"/>
          <w:lang w:val="en-AU"/>
        </w:rPr>
        <w:t xml:space="preserve">client has an interest in understanding more of the process that would be applied to sell their business, the consultant will </w:t>
      </w:r>
      <w:r w:rsidR="00FC4DB0" w:rsidRPr="00500449">
        <w:rPr>
          <w:rFonts w:ascii="Century Gothic" w:hAnsi="Century Gothic"/>
          <w:sz w:val="20"/>
          <w:szCs w:val="20"/>
          <w:lang w:val="en-AU"/>
        </w:rPr>
        <w:t>facilitate a session with an M&amp;A Specialist which will include:</w:t>
      </w:r>
    </w:p>
    <w:p w:rsidR="00FC4DB0" w:rsidRPr="00500449" w:rsidRDefault="00FC4DB0" w:rsidP="00F56716">
      <w:pPr>
        <w:pStyle w:val="ListParagraph"/>
        <w:numPr>
          <w:ilvl w:val="0"/>
          <w:numId w:val="2"/>
        </w:numPr>
        <w:rPr>
          <w:rFonts w:ascii="Century Gothic" w:hAnsi="Century Gothic"/>
          <w:sz w:val="20"/>
          <w:szCs w:val="20"/>
        </w:rPr>
      </w:pPr>
      <w:r w:rsidRPr="00500449">
        <w:rPr>
          <w:rFonts w:ascii="Century Gothic" w:hAnsi="Century Gothic"/>
          <w:sz w:val="20"/>
          <w:szCs w:val="20"/>
        </w:rPr>
        <w:t>An overview of the sale process</w:t>
      </w:r>
    </w:p>
    <w:p w:rsidR="005C5C3A" w:rsidRPr="00500449" w:rsidRDefault="005C5C3A" w:rsidP="00F56716">
      <w:pPr>
        <w:pStyle w:val="ListParagraph"/>
        <w:numPr>
          <w:ilvl w:val="0"/>
          <w:numId w:val="2"/>
        </w:numPr>
        <w:rPr>
          <w:rFonts w:ascii="Century Gothic" w:hAnsi="Century Gothic"/>
          <w:sz w:val="20"/>
          <w:szCs w:val="20"/>
        </w:rPr>
      </w:pPr>
      <w:r w:rsidRPr="00500449">
        <w:rPr>
          <w:rFonts w:ascii="Century Gothic" w:hAnsi="Century Gothic"/>
          <w:sz w:val="20"/>
          <w:szCs w:val="20"/>
        </w:rPr>
        <w:t xml:space="preserve">Indicative target acquirers </w:t>
      </w:r>
      <w:r w:rsidR="00FC4DB0" w:rsidRPr="00500449">
        <w:rPr>
          <w:rFonts w:ascii="Century Gothic" w:hAnsi="Century Gothic"/>
          <w:sz w:val="20"/>
          <w:szCs w:val="20"/>
        </w:rPr>
        <w:t>for the client’s business</w:t>
      </w:r>
    </w:p>
    <w:p w:rsidR="005C5C3A" w:rsidRPr="00500449" w:rsidRDefault="005C5C3A" w:rsidP="00F56716">
      <w:pPr>
        <w:pStyle w:val="ListParagraph"/>
        <w:numPr>
          <w:ilvl w:val="0"/>
          <w:numId w:val="2"/>
        </w:numPr>
        <w:rPr>
          <w:rFonts w:ascii="Century Gothic" w:hAnsi="Century Gothic"/>
          <w:sz w:val="20"/>
          <w:szCs w:val="20"/>
        </w:rPr>
      </w:pPr>
      <w:r w:rsidRPr="00500449">
        <w:rPr>
          <w:rFonts w:ascii="Century Gothic" w:hAnsi="Century Gothic"/>
          <w:sz w:val="20"/>
          <w:szCs w:val="20"/>
        </w:rPr>
        <w:t xml:space="preserve">Marketing approach and channels </w:t>
      </w:r>
      <w:r w:rsidR="00FC4DB0" w:rsidRPr="00500449">
        <w:rPr>
          <w:rFonts w:ascii="Century Gothic" w:hAnsi="Century Gothic"/>
          <w:sz w:val="20"/>
          <w:szCs w:val="20"/>
        </w:rPr>
        <w:t>that are applicable to the client’s business</w:t>
      </w:r>
    </w:p>
    <w:p w:rsidR="005C5C3A" w:rsidRPr="00500449" w:rsidRDefault="005C5C3A" w:rsidP="00F56716">
      <w:pPr>
        <w:pStyle w:val="ListParagraph"/>
        <w:numPr>
          <w:ilvl w:val="0"/>
          <w:numId w:val="2"/>
        </w:numPr>
        <w:rPr>
          <w:rFonts w:ascii="Century Gothic" w:hAnsi="Century Gothic"/>
          <w:sz w:val="20"/>
          <w:szCs w:val="20"/>
        </w:rPr>
      </w:pPr>
      <w:r w:rsidRPr="00500449">
        <w:rPr>
          <w:rFonts w:ascii="Century Gothic" w:hAnsi="Century Gothic"/>
          <w:sz w:val="20"/>
          <w:szCs w:val="20"/>
        </w:rPr>
        <w:t xml:space="preserve">Responses to </w:t>
      </w:r>
      <w:r w:rsidR="00FC4DB0" w:rsidRPr="00500449">
        <w:rPr>
          <w:rFonts w:ascii="Century Gothic" w:hAnsi="Century Gothic"/>
          <w:sz w:val="20"/>
          <w:szCs w:val="20"/>
        </w:rPr>
        <w:t xml:space="preserve">frequently asked questions </w:t>
      </w:r>
      <w:r w:rsidRPr="00500449">
        <w:rPr>
          <w:rFonts w:ascii="Century Gothic" w:hAnsi="Century Gothic"/>
          <w:sz w:val="20"/>
          <w:szCs w:val="20"/>
        </w:rPr>
        <w:t xml:space="preserve">such as “how does the </w:t>
      </w:r>
      <w:r w:rsidR="00233FF6" w:rsidRPr="00500449">
        <w:rPr>
          <w:rFonts w:ascii="Century Gothic" w:hAnsi="Century Gothic"/>
          <w:sz w:val="20"/>
          <w:szCs w:val="20"/>
        </w:rPr>
        <w:t>M&amp;A Specialist</w:t>
      </w:r>
      <w:r w:rsidRPr="00500449">
        <w:rPr>
          <w:rFonts w:ascii="Century Gothic" w:hAnsi="Century Gothic"/>
          <w:sz w:val="20"/>
          <w:szCs w:val="20"/>
        </w:rPr>
        <w:t xml:space="preserve"> maintain the confidentiality of a business during the sale</w:t>
      </w:r>
      <w:r w:rsidR="00FC4DB0" w:rsidRPr="00500449">
        <w:rPr>
          <w:rFonts w:ascii="Century Gothic" w:hAnsi="Century Gothic"/>
          <w:sz w:val="20"/>
          <w:szCs w:val="20"/>
        </w:rPr>
        <w:t xml:space="preserve"> process</w:t>
      </w:r>
      <w:r w:rsidRPr="00500449">
        <w:rPr>
          <w:rFonts w:ascii="Century Gothic" w:hAnsi="Century Gothic"/>
          <w:sz w:val="20"/>
          <w:szCs w:val="20"/>
        </w:rPr>
        <w:t>?”</w:t>
      </w:r>
    </w:p>
    <w:p w:rsidR="00BC2BF0" w:rsidRPr="00500449" w:rsidRDefault="00BC2BF0" w:rsidP="005C5C3A">
      <w:pPr>
        <w:rPr>
          <w:rFonts w:ascii="Century Gothic" w:hAnsi="Century Gothic"/>
          <w:sz w:val="20"/>
          <w:szCs w:val="20"/>
          <w:lang w:val="en-AU"/>
        </w:rPr>
      </w:pPr>
    </w:p>
    <w:p w:rsidR="005C5C3A" w:rsidRPr="00500449" w:rsidRDefault="005C5C3A" w:rsidP="005C5C3A">
      <w:pPr>
        <w:pStyle w:val="Heading2"/>
        <w:rPr>
          <w:lang w:val="en-AU"/>
        </w:rPr>
      </w:pPr>
      <w:bookmarkStart w:id="4" w:name="_Toc363669157"/>
      <w:bookmarkStart w:id="5" w:name="_Toc363669322"/>
      <w:r w:rsidRPr="00500449">
        <w:rPr>
          <w:lang w:val="en-AU"/>
        </w:rPr>
        <w:t>Benefits to the Client</w:t>
      </w:r>
      <w:bookmarkEnd w:id="4"/>
      <w:bookmarkEnd w:id="5"/>
    </w:p>
    <w:p w:rsidR="00CC0EF6" w:rsidRPr="00500449" w:rsidRDefault="00CC0EF6" w:rsidP="008E00C6">
      <w:pPr>
        <w:jc w:val="center"/>
        <w:rPr>
          <w:rFonts w:ascii="Century Gothic" w:eastAsiaTheme="minorHAnsi" w:hAnsi="Century Gothic" w:cstheme="minorBidi"/>
          <w:b/>
          <w:i/>
          <w:sz w:val="20"/>
          <w:szCs w:val="20"/>
          <w:lang w:val="en-AU"/>
        </w:rPr>
      </w:pPr>
    </w:p>
    <w:p w:rsidR="008E00C6" w:rsidRPr="00500449" w:rsidRDefault="008E00C6" w:rsidP="008E00C6">
      <w:pPr>
        <w:jc w:val="center"/>
        <w:rPr>
          <w:rFonts w:ascii="Century Gothic" w:hAnsi="Century Gothic"/>
          <w:b/>
          <w:i/>
          <w:sz w:val="20"/>
          <w:szCs w:val="20"/>
          <w:lang w:val="en-AU"/>
        </w:rPr>
      </w:pPr>
      <w:r w:rsidRPr="00500449">
        <w:rPr>
          <w:rFonts w:ascii="Century Gothic" w:eastAsiaTheme="minorHAnsi" w:hAnsi="Century Gothic" w:cstheme="minorBidi"/>
          <w:b/>
          <w:i/>
          <w:sz w:val="20"/>
          <w:szCs w:val="20"/>
          <w:lang w:val="en-AU"/>
        </w:rPr>
        <w:t>The Divestment Readiness Assessment is intended to be an ideal interim phase for any client that wishes to assess and/or optimise their business for sale – whether or not they intend to sell in the short-term.</w:t>
      </w:r>
    </w:p>
    <w:p w:rsidR="008E00C6" w:rsidRPr="00500449" w:rsidRDefault="008E00C6" w:rsidP="005C5C3A">
      <w:pPr>
        <w:rPr>
          <w:rFonts w:ascii="Century Gothic" w:eastAsiaTheme="minorHAnsi" w:hAnsi="Century Gothic" w:cstheme="minorBidi"/>
          <w:sz w:val="20"/>
          <w:szCs w:val="20"/>
          <w:lang w:val="en-AU"/>
        </w:rPr>
      </w:pPr>
    </w:p>
    <w:p w:rsidR="005C5C3A" w:rsidRPr="00500449" w:rsidRDefault="005C5C3A" w:rsidP="005C5C3A">
      <w:pPr>
        <w:rPr>
          <w:rFonts w:ascii="Century Gothic" w:eastAsiaTheme="minorHAnsi" w:hAnsi="Century Gothic" w:cstheme="minorBidi"/>
          <w:sz w:val="20"/>
          <w:szCs w:val="20"/>
          <w:lang w:val="en-AU"/>
        </w:rPr>
      </w:pPr>
      <w:r w:rsidRPr="00500449">
        <w:rPr>
          <w:rFonts w:ascii="Century Gothic" w:eastAsiaTheme="minorHAnsi" w:hAnsi="Century Gothic" w:cstheme="minorBidi"/>
          <w:sz w:val="20"/>
          <w:szCs w:val="20"/>
          <w:lang w:val="en-AU"/>
        </w:rPr>
        <w:t xml:space="preserve">The </w:t>
      </w:r>
      <w:r w:rsidR="00010915" w:rsidRPr="00500449">
        <w:rPr>
          <w:rFonts w:ascii="Century Gothic" w:eastAsiaTheme="minorHAnsi" w:hAnsi="Century Gothic" w:cstheme="minorBidi"/>
          <w:sz w:val="20"/>
          <w:szCs w:val="20"/>
          <w:lang w:val="en-AU"/>
        </w:rPr>
        <w:t>Divestment Readiness Assessment</w:t>
      </w:r>
      <w:r w:rsidRPr="00500449">
        <w:rPr>
          <w:rFonts w:ascii="Century Gothic" w:eastAsiaTheme="minorHAnsi" w:hAnsi="Century Gothic" w:cstheme="minorBidi"/>
          <w:sz w:val="20"/>
          <w:szCs w:val="20"/>
          <w:lang w:val="en-AU"/>
        </w:rPr>
        <w:t xml:space="preserve"> is a consulting engagement designed to provide a client with independent advice regarding their exit options and the readiness of their business for sale. At no stage during the </w:t>
      </w:r>
      <w:r w:rsidR="00010915" w:rsidRPr="00500449">
        <w:rPr>
          <w:rFonts w:ascii="Century Gothic" w:eastAsiaTheme="minorHAnsi" w:hAnsi="Century Gothic" w:cstheme="minorBidi"/>
          <w:sz w:val="20"/>
          <w:szCs w:val="20"/>
          <w:lang w:val="en-AU"/>
        </w:rPr>
        <w:t>Divestment Readiness Assessment</w:t>
      </w:r>
      <w:r w:rsidRPr="00500449">
        <w:rPr>
          <w:rFonts w:ascii="Century Gothic" w:eastAsiaTheme="minorHAnsi" w:hAnsi="Century Gothic" w:cstheme="minorBidi"/>
          <w:sz w:val="20"/>
          <w:szCs w:val="20"/>
          <w:lang w:val="en-AU"/>
        </w:rPr>
        <w:t xml:space="preserve"> is there an expectation that a client will proceed to a sale.</w:t>
      </w:r>
    </w:p>
    <w:p w:rsidR="00157CBF" w:rsidRPr="00500449" w:rsidRDefault="00157CBF" w:rsidP="005C5C3A">
      <w:pPr>
        <w:rPr>
          <w:rFonts w:ascii="Century Gothic" w:hAnsi="Century Gothic"/>
          <w:sz w:val="20"/>
          <w:szCs w:val="20"/>
          <w:lang w:val="en-AU"/>
        </w:rPr>
      </w:pPr>
    </w:p>
    <w:p w:rsidR="005C5C3A" w:rsidRPr="00500449" w:rsidRDefault="008E00C6" w:rsidP="005C5C3A">
      <w:pPr>
        <w:rPr>
          <w:rFonts w:ascii="Century Gothic" w:hAnsi="Century Gothic"/>
          <w:sz w:val="20"/>
          <w:szCs w:val="20"/>
          <w:lang w:val="en-AU"/>
        </w:rPr>
      </w:pPr>
      <w:r w:rsidRPr="00500449">
        <w:rPr>
          <w:rFonts w:ascii="Century Gothic" w:hAnsi="Century Gothic"/>
          <w:sz w:val="20"/>
          <w:szCs w:val="20"/>
          <w:lang w:val="en-AU"/>
        </w:rPr>
        <w:t>The</w:t>
      </w:r>
      <w:r w:rsidR="005C5C3A" w:rsidRPr="00500449">
        <w:rPr>
          <w:rFonts w:ascii="Century Gothic" w:hAnsi="Century Gothic"/>
          <w:sz w:val="20"/>
          <w:szCs w:val="20"/>
          <w:lang w:val="en-AU"/>
        </w:rPr>
        <w:t xml:space="preserve"> </w:t>
      </w:r>
      <w:r w:rsidR="00010915" w:rsidRPr="00500449">
        <w:rPr>
          <w:rFonts w:ascii="Century Gothic" w:hAnsi="Century Gothic"/>
          <w:sz w:val="20"/>
          <w:szCs w:val="20"/>
          <w:lang w:val="en-AU"/>
        </w:rPr>
        <w:t>Divestment Readiness Assessment</w:t>
      </w:r>
      <w:r w:rsidR="005C5C3A" w:rsidRPr="00500449">
        <w:rPr>
          <w:rFonts w:ascii="Century Gothic" w:hAnsi="Century Gothic"/>
          <w:sz w:val="20"/>
          <w:szCs w:val="20"/>
          <w:lang w:val="en-AU"/>
        </w:rPr>
        <w:t xml:space="preserve"> is designed to </w:t>
      </w:r>
      <w:r w:rsidR="00CC0EF6" w:rsidRPr="00500449">
        <w:rPr>
          <w:rFonts w:ascii="Century Gothic" w:hAnsi="Century Gothic"/>
          <w:sz w:val="20"/>
          <w:szCs w:val="20"/>
          <w:lang w:val="en-AU"/>
        </w:rPr>
        <w:t>deliver</w:t>
      </w:r>
      <w:r w:rsidR="005C5C3A" w:rsidRPr="00500449">
        <w:rPr>
          <w:rFonts w:ascii="Century Gothic" w:hAnsi="Century Gothic"/>
          <w:sz w:val="20"/>
          <w:szCs w:val="20"/>
          <w:lang w:val="en-AU"/>
        </w:rPr>
        <w:t xml:space="preserve"> the following benefits to a client:</w:t>
      </w:r>
    </w:p>
    <w:p w:rsidR="005C5C3A" w:rsidRPr="00500449" w:rsidRDefault="005C5C3A" w:rsidP="00F56716">
      <w:pPr>
        <w:pStyle w:val="ListParagraph"/>
        <w:numPr>
          <w:ilvl w:val="0"/>
          <w:numId w:val="3"/>
        </w:numPr>
        <w:rPr>
          <w:rFonts w:ascii="Century Gothic" w:hAnsi="Century Gothic"/>
          <w:sz w:val="20"/>
          <w:szCs w:val="20"/>
        </w:rPr>
      </w:pPr>
      <w:r w:rsidRPr="00500449">
        <w:rPr>
          <w:rFonts w:ascii="Century Gothic" w:hAnsi="Century Gothic"/>
          <w:sz w:val="20"/>
          <w:szCs w:val="20"/>
        </w:rPr>
        <w:t xml:space="preserve">Provide independent advice </w:t>
      </w:r>
      <w:r w:rsidR="00CC0EF6" w:rsidRPr="00500449">
        <w:rPr>
          <w:rFonts w:ascii="Century Gothic" w:hAnsi="Century Gothic"/>
          <w:sz w:val="20"/>
          <w:szCs w:val="20"/>
        </w:rPr>
        <w:t xml:space="preserve">that is </w:t>
      </w:r>
      <w:r w:rsidRPr="00500449">
        <w:rPr>
          <w:rFonts w:ascii="Century Gothic" w:hAnsi="Century Gothic"/>
          <w:sz w:val="20"/>
          <w:szCs w:val="20"/>
        </w:rPr>
        <w:t>in the best interests of the client</w:t>
      </w:r>
    </w:p>
    <w:p w:rsidR="005C5C3A" w:rsidRPr="00500449" w:rsidRDefault="005C5C3A" w:rsidP="00F56716">
      <w:pPr>
        <w:pStyle w:val="ListParagraph"/>
        <w:numPr>
          <w:ilvl w:val="0"/>
          <w:numId w:val="3"/>
        </w:numPr>
        <w:rPr>
          <w:rFonts w:ascii="Century Gothic" w:hAnsi="Century Gothic"/>
          <w:sz w:val="20"/>
          <w:szCs w:val="20"/>
        </w:rPr>
      </w:pPr>
      <w:r w:rsidRPr="00500449">
        <w:rPr>
          <w:rFonts w:ascii="Century Gothic" w:hAnsi="Century Gothic"/>
          <w:sz w:val="20"/>
          <w:szCs w:val="20"/>
        </w:rPr>
        <w:t xml:space="preserve">Greatly assist the client to decide whether they should proceed with a sale </w:t>
      </w:r>
      <w:r w:rsidR="000C514E" w:rsidRPr="00500449">
        <w:rPr>
          <w:rFonts w:ascii="Century Gothic" w:hAnsi="Century Gothic"/>
          <w:sz w:val="20"/>
          <w:szCs w:val="20"/>
        </w:rPr>
        <w:t>in the short-term</w:t>
      </w:r>
    </w:p>
    <w:p w:rsidR="005C5C3A" w:rsidRPr="00500449" w:rsidRDefault="005C5C3A" w:rsidP="00F56716">
      <w:pPr>
        <w:pStyle w:val="ListParagraph"/>
        <w:numPr>
          <w:ilvl w:val="0"/>
          <w:numId w:val="3"/>
        </w:numPr>
        <w:rPr>
          <w:rFonts w:ascii="Century Gothic" w:hAnsi="Century Gothic"/>
          <w:sz w:val="20"/>
          <w:szCs w:val="20"/>
        </w:rPr>
      </w:pPr>
      <w:r w:rsidRPr="00500449">
        <w:rPr>
          <w:rFonts w:ascii="Century Gothic" w:hAnsi="Century Gothic"/>
          <w:sz w:val="20"/>
          <w:szCs w:val="20"/>
        </w:rPr>
        <w:t xml:space="preserve">Identify specific actions that </w:t>
      </w:r>
      <w:r w:rsidR="000C514E" w:rsidRPr="00500449">
        <w:rPr>
          <w:rFonts w:ascii="Century Gothic" w:hAnsi="Century Gothic"/>
          <w:sz w:val="20"/>
          <w:szCs w:val="20"/>
        </w:rPr>
        <w:t>are expected to substantially</w:t>
      </w:r>
      <w:r w:rsidRPr="00500449">
        <w:rPr>
          <w:rFonts w:ascii="Century Gothic" w:hAnsi="Century Gothic"/>
          <w:sz w:val="20"/>
          <w:szCs w:val="20"/>
        </w:rPr>
        <w:t xml:space="preserve"> improve the client’s sale outcome</w:t>
      </w:r>
    </w:p>
    <w:p w:rsidR="005C5C3A" w:rsidRPr="00500449" w:rsidRDefault="005C5C3A" w:rsidP="00F56716">
      <w:pPr>
        <w:pStyle w:val="ListParagraph"/>
        <w:numPr>
          <w:ilvl w:val="0"/>
          <w:numId w:val="3"/>
        </w:numPr>
        <w:rPr>
          <w:rFonts w:ascii="Century Gothic" w:hAnsi="Century Gothic"/>
          <w:sz w:val="20"/>
          <w:szCs w:val="20"/>
        </w:rPr>
      </w:pPr>
      <w:r w:rsidRPr="00500449">
        <w:rPr>
          <w:rFonts w:ascii="Century Gothic" w:hAnsi="Century Gothic"/>
          <w:sz w:val="20"/>
          <w:szCs w:val="20"/>
        </w:rPr>
        <w:t>Enable the client to understand the likely value they will achieve at exit</w:t>
      </w:r>
    </w:p>
    <w:p w:rsidR="005C5C3A" w:rsidRPr="00500449" w:rsidRDefault="005C5C3A" w:rsidP="00F56716">
      <w:pPr>
        <w:pStyle w:val="ListParagraph"/>
        <w:numPr>
          <w:ilvl w:val="0"/>
          <w:numId w:val="3"/>
        </w:numPr>
        <w:rPr>
          <w:rFonts w:ascii="Century Gothic" w:hAnsi="Century Gothic"/>
          <w:sz w:val="20"/>
          <w:szCs w:val="20"/>
        </w:rPr>
      </w:pPr>
      <w:r w:rsidRPr="00500449">
        <w:rPr>
          <w:rFonts w:ascii="Century Gothic" w:hAnsi="Century Gothic"/>
          <w:sz w:val="20"/>
          <w:szCs w:val="20"/>
        </w:rPr>
        <w:t>Provide the client with an understanding of the sale process</w:t>
      </w:r>
    </w:p>
    <w:p w:rsidR="00CC0EF6" w:rsidRPr="00500449" w:rsidRDefault="00CC0EF6" w:rsidP="00F56716">
      <w:pPr>
        <w:pStyle w:val="ListParagraph"/>
        <w:numPr>
          <w:ilvl w:val="0"/>
          <w:numId w:val="3"/>
        </w:numPr>
        <w:rPr>
          <w:rFonts w:ascii="Century Gothic" w:hAnsi="Century Gothic"/>
          <w:sz w:val="20"/>
          <w:szCs w:val="20"/>
        </w:rPr>
      </w:pPr>
      <w:r w:rsidRPr="00500449">
        <w:rPr>
          <w:rFonts w:ascii="Century Gothic" w:hAnsi="Century Gothic"/>
          <w:sz w:val="20"/>
          <w:szCs w:val="20"/>
        </w:rPr>
        <w:t>Serve as a “stepping-stone” for client who wish to consider selling in the future</w:t>
      </w:r>
    </w:p>
    <w:p w:rsidR="005C5C3A" w:rsidRPr="00500449" w:rsidRDefault="005C5C3A" w:rsidP="00F56716">
      <w:pPr>
        <w:pStyle w:val="ListParagraph"/>
        <w:numPr>
          <w:ilvl w:val="0"/>
          <w:numId w:val="3"/>
        </w:numPr>
        <w:rPr>
          <w:rFonts w:ascii="Century Gothic" w:hAnsi="Century Gothic"/>
          <w:sz w:val="20"/>
          <w:szCs w:val="20"/>
        </w:rPr>
      </w:pPr>
      <w:r w:rsidRPr="00500449">
        <w:rPr>
          <w:rFonts w:ascii="Century Gothic" w:hAnsi="Century Gothic"/>
          <w:sz w:val="20"/>
          <w:szCs w:val="20"/>
        </w:rPr>
        <w:t>Capture key information that would “kick-start” the</w:t>
      </w:r>
      <w:r w:rsidR="000C514E" w:rsidRPr="00500449">
        <w:rPr>
          <w:rFonts w:ascii="Century Gothic" w:hAnsi="Century Gothic"/>
          <w:sz w:val="20"/>
          <w:szCs w:val="20"/>
        </w:rPr>
        <w:t xml:space="preserve"> client’s </w:t>
      </w:r>
      <w:r w:rsidRPr="00500449">
        <w:rPr>
          <w:rFonts w:ascii="Century Gothic" w:hAnsi="Century Gothic"/>
          <w:sz w:val="20"/>
          <w:szCs w:val="20"/>
        </w:rPr>
        <w:t xml:space="preserve">Information Memorandum </w:t>
      </w:r>
      <w:r w:rsidR="000C514E" w:rsidRPr="00500449">
        <w:rPr>
          <w:rFonts w:ascii="Century Gothic" w:hAnsi="Century Gothic"/>
          <w:sz w:val="20"/>
          <w:szCs w:val="20"/>
        </w:rPr>
        <w:t xml:space="preserve">and disclosure documentation </w:t>
      </w:r>
      <w:r w:rsidRPr="00500449">
        <w:rPr>
          <w:rFonts w:ascii="Century Gothic" w:hAnsi="Century Gothic"/>
          <w:sz w:val="20"/>
          <w:szCs w:val="20"/>
        </w:rPr>
        <w:t>should the client wish to proceed to sale</w:t>
      </w:r>
    </w:p>
    <w:p w:rsidR="004538AA" w:rsidRPr="00500449" w:rsidRDefault="004538AA" w:rsidP="004538AA">
      <w:pPr>
        <w:rPr>
          <w:rFonts w:ascii="Century Gothic" w:hAnsi="Century Gothic"/>
          <w:sz w:val="20"/>
          <w:szCs w:val="20"/>
          <w:lang w:val="en-AU"/>
        </w:rPr>
      </w:pPr>
    </w:p>
    <w:p w:rsidR="005C5C3A" w:rsidRPr="00500449" w:rsidRDefault="00010915" w:rsidP="005C5C3A">
      <w:pPr>
        <w:pStyle w:val="Heading2"/>
        <w:rPr>
          <w:lang w:val="en-AU"/>
        </w:rPr>
      </w:pPr>
      <w:bookmarkStart w:id="6" w:name="_Toc363669158"/>
      <w:bookmarkStart w:id="7" w:name="_Toc363669323"/>
      <w:r w:rsidRPr="00500449">
        <w:rPr>
          <w:lang w:val="en-AU"/>
        </w:rPr>
        <w:t>Divestment Readiness Assessment</w:t>
      </w:r>
      <w:r w:rsidR="005C5C3A" w:rsidRPr="00500449">
        <w:rPr>
          <w:lang w:val="en-AU"/>
        </w:rPr>
        <w:t xml:space="preserve"> Process</w:t>
      </w:r>
      <w:bookmarkEnd w:id="6"/>
      <w:bookmarkEnd w:id="7"/>
    </w:p>
    <w:p w:rsidR="00B65AEC" w:rsidRPr="00500449" w:rsidRDefault="00B65AEC" w:rsidP="005C5C3A">
      <w:pPr>
        <w:rPr>
          <w:rFonts w:ascii="Century Gothic" w:hAnsi="Century Gothic"/>
          <w:sz w:val="20"/>
          <w:szCs w:val="20"/>
          <w:lang w:val="en-AU"/>
        </w:rPr>
      </w:pPr>
    </w:p>
    <w:p w:rsidR="00B65AEC" w:rsidRPr="00500449" w:rsidRDefault="0008578C" w:rsidP="00B65AEC">
      <w:pPr>
        <w:jc w:val="center"/>
        <w:rPr>
          <w:rFonts w:ascii="Century Gothic" w:hAnsi="Century Gothic"/>
          <w:b/>
          <w:i/>
          <w:sz w:val="20"/>
          <w:szCs w:val="20"/>
          <w:lang w:val="en-AU"/>
        </w:rPr>
      </w:pPr>
      <w:r w:rsidRPr="00500449">
        <w:rPr>
          <w:rFonts w:ascii="Century Gothic" w:hAnsi="Century Gothic"/>
          <w:b/>
          <w:i/>
          <w:sz w:val="20"/>
          <w:szCs w:val="20"/>
          <w:lang w:val="en-AU"/>
        </w:rPr>
        <w:t>Unlike gen</w:t>
      </w:r>
      <w:r w:rsidR="003F1BB1" w:rsidRPr="00500449">
        <w:rPr>
          <w:rFonts w:ascii="Century Gothic" w:hAnsi="Century Gothic"/>
          <w:b/>
          <w:i/>
          <w:sz w:val="20"/>
          <w:szCs w:val="20"/>
          <w:lang w:val="en-AU"/>
        </w:rPr>
        <w:t>eralist consulting reviews, t</w:t>
      </w:r>
      <w:r w:rsidR="00B65AEC" w:rsidRPr="00500449">
        <w:rPr>
          <w:rFonts w:ascii="Century Gothic" w:hAnsi="Century Gothic"/>
          <w:b/>
          <w:i/>
          <w:sz w:val="20"/>
          <w:szCs w:val="20"/>
          <w:lang w:val="en-AU"/>
        </w:rPr>
        <w:t xml:space="preserve">he Divestment Readiness Assessment </w:t>
      </w:r>
      <w:r w:rsidRPr="00500449">
        <w:rPr>
          <w:rFonts w:ascii="Century Gothic" w:hAnsi="Century Gothic"/>
          <w:b/>
          <w:i/>
          <w:sz w:val="20"/>
          <w:szCs w:val="20"/>
          <w:lang w:val="en-AU"/>
        </w:rPr>
        <w:t xml:space="preserve">is </w:t>
      </w:r>
      <w:r w:rsidR="003F1BB1" w:rsidRPr="00500449">
        <w:rPr>
          <w:rFonts w:ascii="Century Gothic" w:hAnsi="Century Gothic"/>
          <w:b/>
          <w:i/>
          <w:sz w:val="20"/>
          <w:szCs w:val="20"/>
          <w:lang w:val="en-AU"/>
        </w:rPr>
        <w:t xml:space="preserve">a specialist activity </w:t>
      </w:r>
      <w:r w:rsidRPr="00500449">
        <w:rPr>
          <w:rFonts w:ascii="Century Gothic" w:hAnsi="Century Gothic"/>
          <w:b/>
          <w:i/>
          <w:sz w:val="20"/>
          <w:szCs w:val="20"/>
          <w:lang w:val="en-AU"/>
        </w:rPr>
        <w:t xml:space="preserve">focused on </w:t>
      </w:r>
      <w:r w:rsidR="003F1BB1" w:rsidRPr="00500449">
        <w:rPr>
          <w:rFonts w:ascii="Century Gothic" w:hAnsi="Century Gothic"/>
          <w:b/>
          <w:i/>
          <w:sz w:val="20"/>
          <w:szCs w:val="20"/>
          <w:lang w:val="en-AU"/>
        </w:rPr>
        <w:t xml:space="preserve">assessing and optimising </w:t>
      </w:r>
      <w:r w:rsidRPr="00500449">
        <w:rPr>
          <w:rFonts w:ascii="Century Gothic" w:hAnsi="Century Gothic"/>
          <w:b/>
          <w:i/>
          <w:sz w:val="20"/>
          <w:szCs w:val="20"/>
          <w:lang w:val="en-AU"/>
        </w:rPr>
        <w:t xml:space="preserve">the </w:t>
      </w:r>
      <w:r w:rsidR="003F1BB1" w:rsidRPr="00500449">
        <w:rPr>
          <w:rFonts w:ascii="Century Gothic" w:hAnsi="Century Gothic"/>
          <w:b/>
          <w:i/>
          <w:sz w:val="20"/>
          <w:szCs w:val="20"/>
          <w:lang w:val="en-AU"/>
        </w:rPr>
        <w:t>potential business sale outcome</w:t>
      </w:r>
    </w:p>
    <w:p w:rsidR="00B65AEC" w:rsidRPr="00500449" w:rsidRDefault="00B65AEC" w:rsidP="005C5C3A">
      <w:pPr>
        <w:rPr>
          <w:rFonts w:ascii="Century Gothic" w:hAnsi="Century Gothic"/>
          <w:sz w:val="20"/>
          <w:szCs w:val="20"/>
          <w:lang w:val="en-AU"/>
        </w:rPr>
      </w:pPr>
    </w:p>
    <w:p w:rsidR="005C5C3A" w:rsidRPr="00500449" w:rsidRDefault="00296F67" w:rsidP="005C5C3A">
      <w:pPr>
        <w:rPr>
          <w:rFonts w:ascii="Century Gothic" w:hAnsi="Century Gothic"/>
          <w:sz w:val="20"/>
          <w:szCs w:val="20"/>
          <w:lang w:val="en-AU"/>
        </w:rPr>
      </w:pPr>
      <w:r w:rsidRPr="00500449">
        <w:rPr>
          <w:rFonts w:ascii="Century Gothic" w:hAnsi="Century Gothic"/>
          <w:sz w:val="20"/>
          <w:szCs w:val="20"/>
          <w:lang w:val="en-AU"/>
        </w:rPr>
        <w:t>The</w:t>
      </w:r>
      <w:r w:rsidR="005C5C3A" w:rsidRPr="00500449">
        <w:rPr>
          <w:rFonts w:ascii="Century Gothic" w:hAnsi="Century Gothic"/>
          <w:sz w:val="20"/>
          <w:szCs w:val="20"/>
          <w:lang w:val="en-AU"/>
        </w:rPr>
        <w:t xml:space="preserve"> </w:t>
      </w:r>
      <w:r w:rsidR="00010915" w:rsidRPr="00500449">
        <w:rPr>
          <w:rFonts w:ascii="Century Gothic" w:hAnsi="Century Gothic"/>
          <w:sz w:val="20"/>
          <w:szCs w:val="20"/>
          <w:lang w:val="en-AU"/>
        </w:rPr>
        <w:t>Divestment Readiness Assessment</w:t>
      </w:r>
      <w:r w:rsidR="005C5C3A" w:rsidRPr="00500449">
        <w:rPr>
          <w:rFonts w:ascii="Century Gothic" w:hAnsi="Century Gothic"/>
          <w:sz w:val="20"/>
          <w:szCs w:val="20"/>
          <w:lang w:val="en-AU"/>
        </w:rPr>
        <w:t xml:space="preserve"> is conducted as follows:</w:t>
      </w:r>
    </w:p>
    <w:p w:rsidR="005C5C3A" w:rsidRPr="00500449" w:rsidRDefault="005C5C3A" w:rsidP="00F56716">
      <w:pPr>
        <w:pStyle w:val="ListParagraph"/>
        <w:numPr>
          <w:ilvl w:val="0"/>
          <w:numId w:val="4"/>
        </w:numPr>
        <w:rPr>
          <w:rFonts w:ascii="Century Gothic" w:hAnsi="Century Gothic"/>
          <w:sz w:val="20"/>
          <w:szCs w:val="20"/>
        </w:rPr>
      </w:pPr>
      <w:r w:rsidRPr="00500449">
        <w:rPr>
          <w:rFonts w:ascii="Century Gothic" w:hAnsi="Century Gothic"/>
          <w:i/>
          <w:sz w:val="20"/>
          <w:szCs w:val="20"/>
        </w:rPr>
        <w:t>Introduction:</w:t>
      </w:r>
      <w:r w:rsidRPr="00500449">
        <w:rPr>
          <w:rFonts w:ascii="Century Gothic" w:hAnsi="Century Gothic"/>
          <w:sz w:val="20"/>
          <w:szCs w:val="20"/>
        </w:rPr>
        <w:t xml:space="preserve"> the consultant provide</w:t>
      </w:r>
      <w:r w:rsidR="00E466AE" w:rsidRPr="00500449">
        <w:rPr>
          <w:rFonts w:ascii="Century Gothic" w:hAnsi="Century Gothic"/>
          <w:sz w:val="20"/>
          <w:szCs w:val="20"/>
        </w:rPr>
        <w:t>s</w:t>
      </w:r>
      <w:r w:rsidRPr="00500449">
        <w:rPr>
          <w:rFonts w:ascii="Century Gothic" w:hAnsi="Century Gothic"/>
          <w:sz w:val="20"/>
          <w:szCs w:val="20"/>
        </w:rPr>
        <w:t xml:space="preserve"> an overview of the </w:t>
      </w:r>
      <w:r w:rsidR="00E466AE" w:rsidRPr="00500449">
        <w:rPr>
          <w:rFonts w:ascii="Century Gothic" w:hAnsi="Century Gothic"/>
          <w:sz w:val="20"/>
          <w:szCs w:val="20"/>
        </w:rPr>
        <w:t xml:space="preserve">DRA </w:t>
      </w:r>
      <w:r w:rsidRPr="00500449">
        <w:rPr>
          <w:rFonts w:ascii="Century Gothic" w:hAnsi="Century Gothic"/>
          <w:sz w:val="20"/>
          <w:szCs w:val="20"/>
        </w:rPr>
        <w:t>process and outline</w:t>
      </w:r>
      <w:r w:rsidR="00E466AE" w:rsidRPr="00500449">
        <w:rPr>
          <w:rFonts w:ascii="Century Gothic" w:hAnsi="Century Gothic"/>
          <w:sz w:val="20"/>
          <w:szCs w:val="20"/>
        </w:rPr>
        <w:t>s</w:t>
      </w:r>
      <w:r w:rsidRPr="00500449">
        <w:rPr>
          <w:rFonts w:ascii="Century Gothic" w:hAnsi="Century Gothic"/>
          <w:sz w:val="20"/>
          <w:szCs w:val="20"/>
        </w:rPr>
        <w:t xml:space="preserve"> key information that </w:t>
      </w:r>
      <w:r w:rsidR="00E466AE" w:rsidRPr="00500449">
        <w:rPr>
          <w:rFonts w:ascii="Century Gothic" w:hAnsi="Century Gothic"/>
          <w:sz w:val="20"/>
          <w:szCs w:val="20"/>
        </w:rPr>
        <w:t xml:space="preserve">is required </w:t>
      </w:r>
      <w:r w:rsidRPr="00500449">
        <w:rPr>
          <w:rFonts w:ascii="Century Gothic" w:hAnsi="Century Gothic"/>
          <w:sz w:val="20"/>
          <w:szCs w:val="20"/>
        </w:rPr>
        <w:t>to support the Review</w:t>
      </w:r>
    </w:p>
    <w:p w:rsidR="005C5C3A" w:rsidRPr="00500449" w:rsidRDefault="005C5C3A" w:rsidP="00F56716">
      <w:pPr>
        <w:pStyle w:val="ListParagraph"/>
        <w:numPr>
          <w:ilvl w:val="0"/>
          <w:numId w:val="4"/>
        </w:numPr>
        <w:rPr>
          <w:rFonts w:ascii="Century Gothic" w:hAnsi="Century Gothic"/>
          <w:sz w:val="20"/>
          <w:szCs w:val="20"/>
        </w:rPr>
      </w:pPr>
      <w:r w:rsidRPr="00500449">
        <w:rPr>
          <w:rFonts w:ascii="Century Gothic" w:hAnsi="Century Gothic"/>
          <w:i/>
          <w:sz w:val="20"/>
          <w:szCs w:val="20"/>
        </w:rPr>
        <w:t>Onsite review:</w:t>
      </w:r>
      <w:r w:rsidRPr="00500449">
        <w:rPr>
          <w:rFonts w:ascii="Century Gothic" w:hAnsi="Century Gothic"/>
          <w:sz w:val="20"/>
          <w:szCs w:val="20"/>
        </w:rPr>
        <w:t xml:space="preserve"> the consultant will meet the client and tour the client’s business if applicable. The consultant will work through the review with the client (typically</w:t>
      </w:r>
      <w:r w:rsidR="00E466AE" w:rsidRPr="00500449">
        <w:rPr>
          <w:rFonts w:ascii="Century Gothic" w:hAnsi="Century Gothic"/>
          <w:sz w:val="20"/>
          <w:szCs w:val="20"/>
        </w:rPr>
        <w:t xml:space="preserve"> half a day to a full </w:t>
      </w:r>
      <w:r w:rsidRPr="00500449">
        <w:rPr>
          <w:rFonts w:ascii="Century Gothic" w:hAnsi="Century Gothic"/>
          <w:sz w:val="20"/>
          <w:szCs w:val="20"/>
        </w:rPr>
        <w:t xml:space="preserve">day) </w:t>
      </w:r>
    </w:p>
    <w:p w:rsidR="005C5C3A" w:rsidRPr="00500449" w:rsidRDefault="005C5C3A" w:rsidP="00F56716">
      <w:pPr>
        <w:pStyle w:val="ListParagraph"/>
        <w:numPr>
          <w:ilvl w:val="0"/>
          <w:numId w:val="4"/>
        </w:numPr>
        <w:rPr>
          <w:rFonts w:ascii="Century Gothic" w:hAnsi="Century Gothic"/>
          <w:sz w:val="20"/>
          <w:szCs w:val="20"/>
        </w:rPr>
      </w:pPr>
      <w:r w:rsidRPr="00500449">
        <w:rPr>
          <w:rFonts w:ascii="Century Gothic" w:hAnsi="Century Gothic"/>
          <w:i/>
          <w:sz w:val="20"/>
          <w:szCs w:val="20"/>
        </w:rPr>
        <w:lastRenderedPageBreak/>
        <w:t>Analysis:</w:t>
      </w:r>
      <w:r w:rsidRPr="00500449">
        <w:rPr>
          <w:rFonts w:ascii="Century Gothic" w:hAnsi="Century Gothic"/>
          <w:sz w:val="20"/>
          <w:szCs w:val="20"/>
        </w:rPr>
        <w:t xml:space="preserve"> the consultant will work with </w:t>
      </w:r>
      <w:r w:rsidR="00233FF6" w:rsidRPr="00500449">
        <w:rPr>
          <w:rFonts w:ascii="Century Gothic" w:hAnsi="Century Gothic"/>
          <w:sz w:val="20"/>
          <w:szCs w:val="20"/>
        </w:rPr>
        <w:t>the M&amp;A Specialist</w:t>
      </w:r>
      <w:r w:rsidRPr="00500449">
        <w:rPr>
          <w:rFonts w:ascii="Century Gothic" w:hAnsi="Century Gothic"/>
          <w:sz w:val="20"/>
          <w:szCs w:val="20"/>
        </w:rPr>
        <w:t xml:space="preserve"> to </w:t>
      </w:r>
      <w:r w:rsidR="00E466AE" w:rsidRPr="00500449">
        <w:rPr>
          <w:rFonts w:ascii="Century Gothic" w:hAnsi="Century Gothic"/>
          <w:sz w:val="20"/>
          <w:szCs w:val="20"/>
        </w:rPr>
        <w:t xml:space="preserve">analyse the information, </w:t>
      </w:r>
      <w:r w:rsidRPr="00500449">
        <w:rPr>
          <w:rFonts w:ascii="Century Gothic" w:hAnsi="Century Gothic"/>
          <w:sz w:val="20"/>
          <w:szCs w:val="20"/>
        </w:rPr>
        <w:t xml:space="preserve">assess the readiness of the business for sale and to complete the </w:t>
      </w:r>
      <w:r w:rsidR="00E466AE" w:rsidRPr="00500449">
        <w:rPr>
          <w:rFonts w:ascii="Century Gothic" w:hAnsi="Century Gothic"/>
          <w:sz w:val="20"/>
          <w:szCs w:val="20"/>
        </w:rPr>
        <w:t>current</w:t>
      </w:r>
      <w:r w:rsidRPr="00500449">
        <w:rPr>
          <w:rFonts w:ascii="Century Gothic" w:hAnsi="Century Gothic"/>
          <w:sz w:val="20"/>
          <w:szCs w:val="20"/>
        </w:rPr>
        <w:t xml:space="preserve"> </w:t>
      </w:r>
      <w:r w:rsidR="00E466AE" w:rsidRPr="00500449">
        <w:rPr>
          <w:rFonts w:ascii="Century Gothic" w:hAnsi="Century Gothic"/>
          <w:sz w:val="20"/>
          <w:szCs w:val="20"/>
        </w:rPr>
        <w:t xml:space="preserve">market </w:t>
      </w:r>
      <w:r w:rsidRPr="00500449">
        <w:rPr>
          <w:rFonts w:ascii="Century Gothic" w:hAnsi="Century Gothic"/>
          <w:sz w:val="20"/>
          <w:szCs w:val="20"/>
        </w:rPr>
        <w:t>value range</w:t>
      </w:r>
      <w:r w:rsidR="00E466AE" w:rsidRPr="00500449">
        <w:rPr>
          <w:rFonts w:ascii="Century Gothic" w:hAnsi="Century Gothic"/>
          <w:sz w:val="20"/>
          <w:szCs w:val="20"/>
        </w:rPr>
        <w:t xml:space="preserve"> of the business</w:t>
      </w:r>
      <w:r w:rsidRPr="00500449">
        <w:rPr>
          <w:rFonts w:ascii="Century Gothic" w:hAnsi="Century Gothic"/>
          <w:sz w:val="20"/>
          <w:szCs w:val="20"/>
        </w:rPr>
        <w:t>.</w:t>
      </w:r>
    </w:p>
    <w:p w:rsidR="00E466AE" w:rsidRPr="00500449" w:rsidRDefault="00E466AE" w:rsidP="00F56716">
      <w:pPr>
        <w:pStyle w:val="ListParagraph"/>
        <w:numPr>
          <w:ilvl w:val="0"/>
          <w:numId w:val="4"/>
        </w:numPr>
        <w:rPr>
          <w:rFonts w:ascii="Century Gothic" w:hAnsi="Century Gothic"/>
          <w:sz w:val="20"/>
          <w:szCs w:val="20"/>
        </w:rPr>
      </w:pPr>
      <w:r w:rsidRPr="00500449">
        <w:rPr>
          <w:rFonts w:ascii="Century Gothic" w:hAnsi="Century Gothic"/>
          <w:i/>
          <w:sz w:val="20"/>
          <w:szCs w:val="20"/>
        </w:rPr>
        <w:t>Sale Optimisation Recommendations:</w:t>
      </w:r>
      <w:r w:rsidRPr="00500449">
        <w:rPr>
          <w:rFonts w:ascii="Century Gothic" w:hAnsi="Century Gothic"/>
          <w:sz w:val="20"/>
          <w:szCs w:val="20"/>
        </w:rPr>
        <w:t xml:space="preserve"> the consultant will work with the M&amp;A Specialist to determine whether there are any high priority initiatives that would likely substantially improve the sale outcome for the client.</w:t>
      </w:r>
    </w:p>
    <w:p w:rsidR="005C5C3A" w:rsidRPr="00500449" w:rsidRDefault="005C5C3A" w:rsidP="00F56716">
      <w:pPr>
        <w:pStyle w:val="ListParagraph"/>
        <w:numPr>
          <w:ilvl w:val="0"/>
          <w:numId w:val="4"/>
        </w:numPr>
        <w:rPr>
          <w:rFonts w:ascii="Century Gothic" w:hAnsi="Century Gothic"/>
          <w:sz w:val="20"/>
          <w:szCs w:val="20"/>
        </w:rPr>
      </w:pPr>
      <w:r w:rsidRPr="00500449">
        <w:rPr>
          <w:rFonts w:ascii="Century Gothic" w:hAnsi="Century Gothic"/>
          <w:i/>
          <w:sz w:val="20"/>
          <w:szCs w:val="20"/>
        </w:rPr>
        <w:t>Presentation of outcomes:</w:t>
      </w:r>
      <w:r w:rsidRPr="00500449">
        <w:rPr>
          <w:rFonts w:ascii="Century Gothic" w:hAnsi="Century Gothic"/>
          <w:sz w:val="20"/>
          <w:szCs w:val="20"/>
        </w:rPr>
        <w:t xml:space="preserve"> the consultant will then meet with the client to present the outcomes of the </w:t>
      </w:r>
      <w:r w:rsidR="00010915" w:rsidRPr="00500449">
        <w:rPr>
          <w:rFonts w:ascii="Century Gothic" w:hAnsi="Century Gothic"/>
          <w:sz w:val="20"/>
          <w:szCs w:val="20"/>
        </w:rPr>
        <w:t>Divestment Readiness Assessment</w:t>
      </w:r>
      <w:r w:rsidRPr="00500449">
        <w:rPr>
          <w:rFonts w:ascii="Century Gothic" w:hAnsi="Century Gothic"/>
          <w:sz w:val="20"/>
          <w:szCs w:val="20"/>
        </w:rPr>
        <w:t xml:space="preserve">. The consultant will provide the client with the </w:t>
      </w:r>
      <w:r w:rsidR="00E466AE" w:rsidRPr="00500449">
        <w:rPr>
          <w:rFonts w:ascii="Century Gothic" w:hAnsi="Century Gothic"/>
          <w:sz w:val="20"/>
          <w:szCs w:val="20"/>
        </w:rPr>
        <w:t xml:space="preserve">complete </w:t>
      </w:r>
      <w:r w:rsidRPr="00500449">
        <w:rPr>
          <w:rFonts w:ascii="Century Gothic" w:hAnsi="Century Gothic"/>
          <w:sz w:val="20"/>
          <w:szCs w:val="20"/>
        </w:rPr>
        <w:t>Divestment Readiness Report at that meeting and will schedule a follow-up meeting. The presentation will typically take 2 hours.</w:t>
      </w:r>
    </w:p>
    <w:p w:rsidR="005C5C3A" w:rsidRPr="00500449" w:rsidRDefault="005C5C3A" w:rsidP="00F56716">
      <w:pPr>
        <w:pStyle w:val="ListParagraph"/>
        <w:numPr>
          <w:ilvl w:val="0"/>
          <w:numId w:val="4"/>
        </w:numPr>
        <w:rPr>
          <w:rFonts w:ascii="Century Gothic" w:hAnsi="Century Gothic"/>
          <w:sz w:val="20"/>
          <w:szCs w:val="20"/>
        </w:rPr>
      </w:pPr>
      <w:r w:rsidRPr="00500449">
        <w:rPr>
          <w:rFonts w:ascii="Century Gothic" w:hAnsi="Century Gothic"/>
          <w:i/>
          <w:sz w:val="20"/>
          <w:szCs w:val="20"/>
        </w:rPr>
        <w:t>Follow-up:</w:t>
      </w:r>
      <w:r w:rsidRPr="00500449">
        <w:rPr>
          <w:rFonts w:ascii="Century Gothic" w:hAnsi="Century Gothic"/>
          <w:sz w:val="20"/>
          <w:szCs w:val="20"/>
        </w:rPr>
        <w:t xml:space="preserve"> typically within 2 -4 weeks of presenting the Divestment Readiness Report, the consultant will meet with the client to answer any specific questions and to discuss next steps (if applicable).</w:t>
      </w:r>
    </w:p>
    <w:p w:rsidR="005C5C3A" w:rsidRPr="00500449" w:rsidRDefault="005C5C3A" w:rsidP="00F56716">
      <w:pPr>
        <w:pStyle w:val="ListParagraph"/>
        <w:numPr>
          <w:ilvl w:val="0"/>
          <w:numId w:val="4"/>
        </w:numPr>
        <w:rPr>
          <w:rFonts w:ascii="Century Gothic" w:hAnsi="Century Gothic"/>
          <w:sz w:val="20"/>
          <w:szCs w:val="20"/>
        </w:rPr>
      </w:pPr>
      <w:r w:rsidRPr="00500449">
        <w:rPr>
          <w:rFonts w:ascii="Century Gothic" w:hAnsi="Century Gothic"/>
          <w:i/>
          <w:sz w:val="20"/>
          <w:szCs w:val="20"/>
        </w:rPr>
        <w:t xml:space="preserve">Optional session with </w:t>
      </w:r>
      <w:r w:rsidR="000D76D5" w:rsidRPr="00500449">
        <w:rPr>
          <w:rFonts w:ascii="Century Gothic" w:hAnsi="Century Gothic"/>
          <w:i/>
          <w:sz w:val="20"/>
          <w:szCs w:val="20"/>
        </w:rPr>
        <w:t xml:space="preserve">the </w:t>
      </w:r>
      <w:r w:rsidR="00233FF6" w:rsidRPr="00500449">
        <w:rPr>
          <w:rFonts w:ascii="Century Gothic" w:hAnsi="Century Gothic"/>
          <w:i/>
          <w:sz w:val="20"/>
          <w:szCs w:val="20"/>
        </w:rPr>
        <w:t>M&amp;A Specialist</w:t>
      </w:r>
      <w:r w:rsidRPr="00500449">
        <w:rPr>
          <w:rFonts w:ascii="Century Gothic" w:hAnsi="Century Gothic"/>
          <w:i/>
          <w:sz w:val="20"/>
          <w:szCs w:val="20"/>
        </w:rPr>
        <w:t>:</w:t>
      </w:r>
      <w:r w:rsidRPr="00500449">
        <w:rPr>
          <w:rFonts w:ascii="Century Gothic" w:hAnsi="Century Gothic"/>
          <w:sz w:val="20"/>
          <w:szCs w:val="20"/>
        </w:rPr>
        <w:t xml:space="preserve"> should the client wish to learn more of the M&amp;A process, the consultant will facilitate a session with </w:t>
      </w:r>
      <w:r w:rsidR="00233FF6" w:rsidRPr="00500449">
        <w:rPr>
          <w:rFonts w:ascii="Century Gothic" w:hAnsi="Century Gothic"/>
          <w:sz w:val="20"/>
          <w:szCs w:val="20"/>
        </w:rPr>
        <w:t>the M&amp;A Specialist</w:t>
      </w:r>
      <w:r w:rsidRPr="00500449">
        <w:rPr>
          <w:rFonts w:ascii="Century Gothic" w:hAnsi="Century Gothic"/>
          <w:sz w:val="20"/>
          <w:szCs w:val="20"/>
        </w:rPr>
        <w:t xml:space="preserve"> to provide an overview of the sales process and to respond to any questions the client may have.</w:t>
      </w:r>
    </w:p>
    <w:p w:rsidR="00985D9D" w:rsidRPr="00500449" w:rsidRDefault="003F1BB1" w:rsidP="00F56716">
      <w:pPr>
        <w:pStyle w:val="ListParagraph"/>
        <w:numPr>
          <w:ilvl w:val="0"/>
          <w:numId w:val="4"/>
        </w:numPr>
        <w:rPr>
          <w:rFonts w:ascii="Century Gothic" w:hAnsi="Century Gothic"/>
          <w:sz w:val="20"/>
          <w:szCs w:val="20"/>
        </w:rPr>
      </w:pPr>
      <w:r w:rsidRPr="00500449">
        <w:rPr>
          <w:rFonts w:ascii="Century Gothic" w:hAnsi="Century Gothic"/>
          <w:i/>
          <w:sz w:val="20"/>
          <w:szCs w:val="20"/>
        </w:rPr>
        <w:t>Optional i</w:t>
      </w:r>
      <w:r w:rsidR="000D76D5" w:rsidRPr="00500449">
        <w:rPr>
          <w:rFonts w:ascii="Century Gothic" w:hAnsi="Century Gothic"/>
          <w:i/>
          <w:sz w:val="20"/>
          <w:szCs w:val="20"/>
        </w:rPr>
        <w:t>mplementation support</w:t>
      </w:r>
      <w:r w:rsidR="00985D9D" w:rsidRPr="00500449">
        <w:rPr>
          <w:rFonts w:ascii="Century Gothic" w:hAnsi="Century Gothic"/>
          <w:i/>
          <w:sz w:val="20"/>
          <w:szCs w:val="20"/>
        </w:rPr>
        <w:t>:</w:t>
      </w:r>
      <w:r w:rsidR="00985D9D" w:rsidRPr="00500449">
        <w:rPr>
          <w:rFonts w:ascii="Century Gothic" w:hAnsi="Century Gothic"/>
          <w:sz w:val="20"/>
          <w:szCs w:val="20"/>
        </w:rPr>
        <w:t xml:space="preserve"> </w:t>
      </w:r>
      <w:r w:rsidR="004E606E" w:rsidRPr="00500449">
        <w:rPr>
          <w:rFonts w:ascii="Century Gothic" w:hAnsi="Century Gothic"/>
          <w:sz w:val="20"/>
          <w:szCs w:val="20"/>
        </w:rPr>
        <w:t xml:space="preserve">should the client have an interest in </w:t>
      </w:r>
      <w:r w:rsidR="000D76D5" w:rsidRPr="00500449">
        <w:rPr>
          <w:rFonts w:ascii="Century Gothic" w:hAnsi="Century Gothic"/>
          <w:sz w:val="20"/>
          <w:szCs w:val="20"/>
        </w:rPr>
        <w:t xml:space="preserve">gaining assistance to implement some or all of the recommendations, </w:t>
      </w:r>
      <w:r w:rsidR="004E606E" w:rsidRPr="00500449">
        <w:rPr>
          <w:rFonts w:ascii="Century Gothic" w:hAnsi="Century Gothic"/>
          <w:sz w:val="20"/>
          <w:szCs w:val="20"/>
        </w:rPr>
        <w:t>the consultant will develop a proposal tailored to the client’s needs.</w:t>
      </w:r>
    </w:p>
    <w:p w:rsidR="00CC0EF6" w:rsidRPr="00500449" w:rsidRDefault="00CC0EF6" w:rsidP="005C5C3A">
      <w:pPr>
        <w:rPr>
          <w:rFonts w:ascii="Century Gothic" w:eastAsiaTheme="minorHAnsi" w:hAnsi="Century Gothic" w:cstheme="minorBidi"/>
          <w:sz w:val="20"/>
          <w:szCs w:val="20"/>
          <w:lang w:val="en-AU"/>
        </w:rPr>
      </w:pPr>
    </w:p>
    <w:p w:rsidR="0008578C" w:rsidRPr="00500449" w:rsidRDefault="0008578C" w:rsidP="0008578C">
      <w:pPr>
        <w:pStyle w:val="Heading2"/>
        <w:rPr>
          <w:lang w:val="en-AU"/>
        </w:rPr>
      </w:pPr>
      <w:bookmarkStart w:id="8" w:name="_Toc363669160"/>
      <w:bookmarkStart w:id="9" w:name="_Toc363669325"/>
      <w:r w:rsidRPr="00500449">
        <w:rPr>
          <w:lang w:val="en-AU"/>
        </w:rPr>
        <w:t>High Quality Process</w:t>
      </w:r>
      <w:bookmarkEnd w:id="8"/>
      <w:bookmarkEnd w:id="9"/>
    </w:p>
    <w:p w:rsidR="0008578C" w:rsidRPr="00500449" w:rsidRDefault="0008578C" w:rsidP="0008578C">
      <w:pPr>
        <w:jc w:val="center"/>
        <w:rPr>
          <w:rFonts w:ascii="Century Gothic" w:hAnsi="Century Gothic"/>
          <w:b/>
          <w:i/>
          <w:sz w:val="20"/>
          <w:szCs w:val="20"/>
          <w:lang w:val="en-AU"/>
        </w:rPr>
      </w:pPr>
    </w:p>
    <w:p w:rsidR="0008578C" w:rsidRPr="00500449" w:rsidRDefault="0008578C" w:rsidP="0008578C">
      <w:pPr>
        <w:jc w:val="center"/>
        <w:rPr>
          <w:rFonts w:ascii="Century Gothic" w:hAnsi="Century Gothic"/>
          <w:b/>
          <w:i/>
          <w:sz w:val="20"/>
          <w:szCs w:val="20"/>
          <w:lang w:val="en-AU"/>
        </w:rPr>
      </w:pPr>
      <w:r w:rsidRPr="00500449">
        <w:rPr>
          <w:rFonts w:ascii="Century Gothic" w:hAnsi="Century Gothic"/>
          <w:b/>
          <w:i/>
          <w:sz w:val="20"/>
          <w:szCs w:val="20"/>
          <w:lang w:val="en-AU"/>
        </w:rPr>
        <w:t>The Divestment Readiness Assessment draws on over 26 years of business sale exper</w:t>
      </w:r>
      <w:r w:rsidR="003F1BB1" w:rsidRPr="00500449">
        <w:rPr>
          <w:rFonts w:ascii="Century Gothic" w:hAnsi="Century Gothic"/>
          <w:b/>
          <w:i/>
          <w:sz w:val="20"/>
          <w:szCs w:val="20"/>
          <w:lang w:val="en-AU"/>
        </w:rPr>
        <w:t>tise</w:t>
      </w:r>
    </w:p>
    <w:p w:rsidR="0008578C" w:rsidRPr="00500449" w:rsidRDefault="0008578C" w:rsidP="0008578C">
      <w:pPr>
        <w:rPr>
          <w:rFonts w:ascii="Century Gothic" w:eastAsiaTheme="minorHAnsi" w:hAnsi="Century Gothic" w:cstheme="minorBidi"/>
          <w:sz w:val="20"/>
          <w:szCs w:val="20"/>
          <w:lang w:val="en-AU"/>
        </w:rPr>
      </w:pPr>
    </w:p>
    <w:p w:rsidR="007B663B" w:rsidRPr="00500449" w:rsidRDefault="007B663B" w:rsidP="0008578C">
      <w:pPr>
        <w:rPr>
          <w:rFonts w:ascii="Century Gothic" w:eastAsiaTheme="minorHAnsi" w:hAnsi="Century Gothic" w:cstheme="minorBidi"/>
          <w:sz w:val="20"/>
          <w:szCs w:val="20"/>
          <w:lang w:val="en-AU"/>
        </w:rPr>
      </w:pPr>
      <w:r w:rsidRPr="00500449">
        <w:rPr>
          <w:rFonts w:ascii="Century Gothic" w:eastAsiaTheme="minorHAnsi" w:hAnsi="Century Gothic" w:cstheme="minorBidi"/>
          <w:sz w:val="20"/>
          <w:szCs w:val="20"/>
          <w:lang w:val="en-AU"/>
        </w:rPr>
        <w:t>The Divestment Readiness Assessment is designed to provide a client with highly qualified, independent advice that is in the best interests of the client: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345"/>
        <w:gridCol w:w="4133"/>
      </w:tblGrid>
      <w:tr w:rsidR="007B663B" w:rsidRPr="00500449" w:rsidTr="000E47A6">
        <w:tc>
          <w:tcPr>
            <w:tcW w:w="6345" w:type="dxa"/>
          </w:tcPr>
          <w:p w:rsidR="007B663B" w:rsidRPr="00500449" w:rsidRDefault="007B663B" w:rsidP="00F56716">
            <w:pPr>
              <w:pStyle w:val="ListParagraph"/>
              <w:numPr>
                <w:ilvl w:val="0"/>
                <w:numId w:val="5"/>
              </w:numPr>
              <w:rPr>
                <w:rFonts w:ascii="Century Gothic" w:hAnsi="Century Gothic"/>
                <w:sz w:val="20"/>
                <w:szCs w:val="20"/>
              </w:rPr>
            </w:pPr>
            <w:r w:rsidRPr="00500449">
              <w:rPr>
                <w:rFonts w:ascii="Century Gothic" w:hAnsi="Century Gothic"/>
                <w:sz w:val="20"/>
                <w:szCs w:val="20"/>
              </w:rPr>
              <w:t>The Divestment Readiness Assessment is conducted by an experienced professional that is well informed in the M&amp;A process for small to medium businesses</w:t>
            </w:r>
          </w:p>
          <w:p w:rsidR="007B663B" w:rsidRPr="00500449" w:rsidRDefault="007B663B" w:rsidP="00F56716">
            <w:pPr>
              <w:pStyle w:val="ListParagraph"/>
              <w:numPr>
                <w:ilvl w:val="0"/>
                <w:numId w:val="5"/>
              </w:numPr>
              <w:rPr>
                <w:rFonts w:ascii="Century Gothic" w:hAnsi="Century Gothic"/>
                <w:sz w:val="20"/>
                <w:szCs w:val="20"/>
              </w:rPr>
            </w:pPr>
            <w:r w:rsidRPr="00500449">
              <w:rPr>
                <w:rFonts w:ascii="Century Gothic" w:hAnsi="Century Gothic"/>
                <w:sz w:val="20"/>
                <w:szCs w:val="20"/>
              </w:rPr>
              <w:t>The consultant’s analysis is reviewed and endorsed by the M&amp;A Specialist</w:t>
            </w:r>
          </w:p>
          <w:p w:rsidR="007B663B" w:rsidRPr="00500449" w:rsidRDefault="007B663B" w:rsidP="00F56716">
            <w:pPr>
              <w:pStyle w:val="ListParagraph"/>
              <w:numPr>
                <w:ilvl w:val="0"/>
                <w:numId w:val="5"/>
              </w:numPr>
              <w:rPr>
                <w:rFonts w:ascii="Century Gothic" w:hAnsi="Century Gothic"/>
                <w:sz w:val="20"/>
                <w:szCs w:val="20"/>
              </w:rPr>
            </w:pPr>
            <w:r w:rsidRPr="00500449">
              <w:rPr>
                <w:rFonts w:ascii="Century Gothic" w:hAnsi="Century Gothic"/>
                <w:sz w:val="20"/>
                <w:szCs w:val="20"/>
              </w:rPr>
              <w:t xml:space="preserve">The Divestment Readiness Assessment is based on the established “5 Pillars” framework which considers the key assessment criteria of buyers that are common across various industries </w:t>
            </w:r>
          </w:p>
        </w:tc>
        <w:tc>
          <w:tcPr>
            <w:tcW w:w="4133" w:type="dxa"/>
          </w:tcPr>
          <w:p w:rsidR="007B663B" w:rsidRPr="00500449" w:rsidRDefault="007B663B" w:rsidP="007B663B">
            <w:pPr>
              <w:jc w:val="right"/>
              <w:rPr>
                <w:rFonts w:ascii="Century Gothic" w:eastAsiaTheme="minorHAnsi" w:hAnsi="Century Gothic" w:cstheme="minorBidi"/>
                <w:sz w:val="20"/>
                <w:szCs w:val="20"/>
                <w:lang w:val="en-AU"/>
              </w:rPr>
            </w:pPr>
            <w:r w:rsidRPr="00500449">
              <w:rPr>
                <w:rFonts w:ascii="Century Gothic" w:eastAsiaTheme="minorHAnsi" w:hAnsi="Century Gothic" w:cstheme="minorBidi"/>
                <w:noProof/>
                <w:sz w:val="20"/>
                <w:szCs w:val="20"/>
                <w:lang w:val="en-AU" w:eastAsia="en-AU"/>
              </w:rPr>
              <w:drawing>
                <wp:inline distT="0" distB="0" distL="0" distR="0">
                  <wp:extent cx="2356878" cy="1422494"/>
                  <wp:effectExtent l="19050" t="0" r="5322" b="0"/>
                  <wp:docPr id="1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srcRect/>
                          <a:stretch>
                            <a:fillRect/>
                          </a:stretch>
                        </pic:blipFill>
                        <pic:spPr bwMode="auto">
                          <a:xfrm>
                            <a:off x="0" y="0"/>
                            <a:ext cx="2358895" cy="1423711"/>
                          </a:xfrm>
                          <a:prstGeom prst="rect">
                            <a:avLst/>
                          </a:prstGeom>
                          <a:noFill/>
                          <a:ln w="9525">
                            <a:noFill/>
                            <a:miter lim="800000"/>
                            <a:headEnd/>
                            <a:tailEnd/>
                          </a:ln>
                        </pic:spPr>
                      </pic:pic>
                    </a:graphicData>
                  </a:graphic>
                </wp:inline>
              </w:drawing>
            </w:r>
          </w:p>
        </w:tc>
      </w:tr>
    </w:tbl>
    <w:p w:rsidR="00625D95" w:rsidRPr="00500449" w:rsidRDefault="007B663B" w:rsidP="00F56716">
      <w:pPr>
        <w:pStyle w:val="ListParagraph"/>
        <w:numPr>
          <w:ilvl w:val="0"/>
          <w:numId w:val="6"/>
        </w:numPr>
        <w:rPr>
          <w:rFonts w:ascii="Century Gothic" w:hAnsi="Century Gothic"/>
          <w:sz w:val="20"/>
          <w:szCs w:val="20"/>
        </w:rPr>
      </w:pPr>
      <w:r w:rsidRPr="00500449">
        <w:rPr>
          <w:rFonts w:ascii="Century Gothic" w:hAnsi="Century Gothic"/>
          <w:sz w:val="20"/>
          <w:szCs w:val="20"/>
        </w:rPr>
        <w:t>Preservation of the client’s confidentiality during the process is of paramount importance to the consultant. The Divestment Readiness Assessment includes appropriate measures to support the client’s confidentiality. For example, the consultant will allocate a unique reference identifier to the client so the identity of the client is not revealed to the M&amp;A Specialist, nor is it disclosed on any documentation developed by the consultant.</w:t>
      </w:r>
    </w:p>
    <w:p w:rsidR="0084194E" w:rsidRPr="00500449" w:rsidRDefault="0084194E" w:rsidP="003643EF">
      <w:pPr>
        <w:rPr>
          <w:lang w:val="en-AU"/>
        </w:rPr>
      </w:pPr>
    </w:p>
    <w:sectPr w:rsidR="0084194E" w:rsidRPr="00500449" w:rsidSect="00921F1F">
      <w:headerReference w:type="even" r:id="rId11"/>
      <w:headerReference w:type="default" r:id="rId12"/>
      <w:footerReference w:type="default" r:id="rId13"/>
      <w:headerReference w:type="first" r:id="rId14"/>
      <w:pgSz w:w="11906" w:h="16838"/>
      <w:pgMar w:top="851" w:right="822" w:bottom="851" w:left="822" w:header="708" w:footer="2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22B4" w:rsidRDefault="006922B4" w:rsidP="009E3D89">
      <w:r>
        <w:separator/>
      </w:r>
    </w:p>
  </w:endnote>
  <w:endnote w:type="continuationSeparator" w:id="0">
    <w:p w:rsidR="006922B4" w:rsidRDefault="006922B4" w:rsidP="009E3D8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CE2" w:rsidRPr="00500449" w:rsidRDefault="00DE2CE2">
    <w:pPr>
      <w:rPr>
        <w:rFonts w:ascii="Century Gothic" w:hAnsi="Century Gothic"/>
        <w:color w:val="5F497A" w:themeColor="accent4" w:themeShade="BF"/>
        <w:sz w:val="16"/>
        <w:szCs w:val="16"/>
      </w:rPr>
    </w:pPr>
    <w:r w:rsidRPr="00500449">
      <w:rPr>
        <w:rFonts w:ascii="Century Gothic" w:hAnsi="Century Gothic"/>
        <w:color w:val="5F497A" w:themeColor="accent4" w:themeShade="BF"/>
        <w:sz w:val="16"/>
        <w:szCs w:val="16"/>
      </w:rPr>
      <w:t xml:space="preserve">© 2013. </w:t>
    </w:r>
    <w:r w:rsidR="00500449" w:rsidRPr="00500449">
      <w:rPr>
        <w:rFonts w:ascii="Century Gothic" w:hAnsi="Century Gothic"/>
        <w:color w:val="5F497A" w:themeColor="accent4" w:themeShade="BF"/>
        <w:sz w:val="16"/>
        <w:szCs w:val="16"/>
      </w:rPr>
      <w:t>Avowal</w:t>
    </w:r>
    <w:r w:rsidRPr="00500449">
      <w:rPr>
        <w:rFonts w:ascii="Century Gothic" w:hAnsi="Century Gothic"/>
        <w:color w:val="5F497A" w:themeColor="accent4" w:themeShade="BF"/>
        <w:sz w:val="16"/>
        <w:szCs w:val="16"/>
      </w:rPr>
      <w:t xml:space="preserve"> Capital Pty Ltd.</w:t>
    </w:r>
    <w:r w:rsidRPr="00500449">
      <w:rPr>
        <w:rFonts w:ascii="Century Gothic" w:hAnsi="Century Gothic"/>
        <w:color w:val="5F497A" w:themeColor="accent4" w:themeShade="BF"/>
        <w:sz w:val="16"/>
        <w:szCs w:val="16"/>
      </w:rPr>
      <w:tab/>
    </w:r>
    <w:r w:rsidRPr="00500449">
      <w:rPr>
        <w:rFonts w:ascii="Century Gothic" w:hAnsi="Century Gothic"/>
        <w:color w:val="5F497A" w:themeColor="accent4" w:themeShade="BF"/>
        <w:sz w:val="16"/>
        <w:szCs w:val="16"/>
      </w:rPr>
      <w:tab/>
    </w:r>
    <w:r w:rsidRPr="00500449">
      <w:rPr>
        <w:rFonts w:ascii="Century Gothic" w:hAnsi="Century Gothic"/>
        <w:color w:val="5F497A" w:themeColor="accent4" w:themeShade="BF"/>
        <w:sz w:val="16"/>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22B4" w:rsidRDefault="006922B4" w:rsidP="009E3D89">
      <w:r>
        <w:separator/>
      </w:r>
    </w:p>
  </w:footnote>
  <w:footnote w:type="continuationSeparator" w:id="0">
    <w:p w:rsidR="006922B4" w:rsidRDefault="006922B4" w:rsidP="009E3D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CE2" w:rsidRDefault="00CC34FE">
    <w:pPr>
      <w:pStyle w:val="Header"/>
    </w:pPr>
    <w:r w:rsidRPr="00CC34F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112163" o:spid="_x0000_s2080" type="#_x0000_t75" style="position:absolute;margin-left:0;margin-top:0;width:184.55pt;height:183.05pt;z-index:-251658240;mso-position-horizontal:center;mso-position-horizontal-relative:margin;mso-position-vertical:center;mso-position-vertical-relative:margin" o:allowincell="f">
          <v:imagedata r:id="rId1" o:title="image001"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CE2" w:rsidRDefault="00554659" w:rsidP="0003068F">
    <w:pPr>
      <w:pStyle w:val="Header"/>
      <w:jc w:val="both"/>
    </w:pPr>
    <w:r w:rsidRPr="00554659">
      <w:rPr>
        <w:noProof/>
        <w:lang w:val="en-AU" w:eastAsia="en-AU"/>
      </w:rPr>
      <w:drawing>
        <wp:inline distT="0" distB="0" distL="0" distR="0">
          <wp:extent cx="1466849" cy="762000"/>
          <wp:effectExtent l="171450" t="133350" r="361951" b="304800"/>
          <wp:docPr id="14"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466666" cy="761905"/>
                  </a:xfrm>
                  <a:prstGeom prst="rect">
                    <a:avLst/>
                  </a:prstGeom>
                  <a:ln>
                    <a:noFill/>
                  </a:ln>
                  <a:effectLst>
                    <a:outerShdw blurRad="292100" dist="139700" dir="2700000" algn="tl" rotWithShape="0">
                      <a:srgbClr val="333333">
                        <a:alpha val="65000"/>
                      </a:srgbClr>
                    </a:outerShdw>
                  </a:effectLst>
                </pic:spPr>
              </pic:pic>
            </a:graphicData>
          </a:graphic>
        </wp:inline>
      </w:drawing>
    </w:r>
    <w:r w:rsidR="00CC34FE" w:rsidRPr="00CC34FE">
      <w:rPr>
        <w:color w:val="244061" w:themeColor="accent1" w:themeShade="80"/>
      </w:rPr>
      <w:pict>
        <v:rect id="_x0000_i1025" style="width:513.1pt;height:2pt;mso-position-horizontal:absolute;mso-position-vertical:absolute" o:hralign="center" o:hrstd="t" o:hrnoshade="t" o:hr="t" fillcolor="#243f60 [1604]" stroked="f"/>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CE2" w:rsidRDefault="00CC34FE">
    <w:pPr>
      <w:pStyle w:val="Header"/>
    </w:pPr>
    <w:r w:rsidRPr="00CC34F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112162" o:spid="_x0000_s2079" type="#_x0000_t75" style="position:absolute;margin-left:0;margin-top:0;width:184.55pt;height:183.05pt;z-index:-251659264;mso-position-horizontal:center;mso-position-horizontal-relative:margin;mso-position-vertical:center;mso-position-vertical-relative:margin" o:allowincell="f">
          <v:imagedata r:id="rId1" o:title="image001"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A619E"/>
    <w:multiLevelType w:val="hybridMultilevel"/>
    <w:tmpl w:val="69FED01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72F4CA2"/>
    <w:multiLevelType w:val="hybridMultilevel"/>
    <w:tmpl w:val="5C2A12A8"/>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16945D7F"/>
    <w:multiLevelType w:val="hybridMultilevel"/>
    <w:tmpl w:val="1FECE9F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1A6F3865"/>
    <w:multiLevelType w:val="hybridMultilevel"/>
    <w:tmpl w:val="52E0E9F6"/>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23343F4E"/>
    <w:multiLevelType w:val="hybridMultilevel"/>
    <w:tmpl w:val="B7CA685E"/>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2D1F2F53"/>
    <w:multiLevelType w:val="hybridMultilevel"/>
    <w:tmpl w:val="77D0ECA8"/>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5"/>
  </w:num>
  <w:num w:numId="2">
    <w:abstractNumId w:val="1"/>
  </w:num>
  <w:num w:numId="3">
    <w:abstractNumId w:val="2"/>
  </w:num>
  <w:num w:numId="4">
    <w:abstractNumId w:val="0"/>
  </w:num>
  <w:num w:numId="5">
    <w:abstractNumId w:val="4"/>
  </w:num>
  <w:num w:numId="6">
    <w:abstractNumId w:val="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oNotTrackMoves/>
  <w:defaultTabStop w:val="720"/>
  <w:drawingGridHorizontalSpacing w:val="110"/>
  <w:displayHorizontalDrawingGridEvery w:val="2"/>
  <w:characterSpacingControl w:val="doNotCompress"/>
  <w:hdrShapeDefaults>
    <o:shapedefaults v:ext="edit" spidmax="16386">
      <o:colormenu v:ext="edit" fillcolor="none" strokecolor="none"/>
    </o:shapedefaults>
    <o:shapelayout v:ext="edit">
      <o:idmap v:ext="edit" data="2"/>
    </o:shapelayout>
  </w:hdrShapeDefaults>
  <w:footnotePr>
    <w:footnote w:id="-1"/>
    <w:footnote w:id="0"/>
  </w:footnotePr>
  <w:endnotePr>
    <w:endnote w:id="-1"/>
    <w:endnote w:id="0"/>
  </w:endnotePr>
  <w:compat/>
  <w:rsids>
    <w:rsidRoot w:val="009B7891"/>
    <w:rsid w:val="00010915"/>
    <w:rsid w:val="000222AB"/>
    <w:rsid w:val="000228EC"/>
    <w:rsid w:val="0003068F"/>
    <w:rsid w:val="00036A55"/>
    <w:rsid w:val="00067D1C"/>
    <w:rsid w:val="0008578C"/>
    <w:rsid w:val="000A740B"/>
    <w:rsid w:val="000C23F2"/>
    <w:rsid w:val="000C41BC"/>
    <w:rsid w:val="000C514E"/>
    <w:rsid w:val="000D0642"/>
    <w:rsid w:val="000D76D5"/>
    <w:rsid w:val="000E47A6"/>
    <w:rsid w:val="000E7446"/>
    <w:rsid w:val="000F01BD"/>
    <w:rsid w:val="000F0381"/>
    <w:rsid w:val="00123441"/>
    <w:rsid w:val="00134408"/>
    <w:rsid w:val="00155510"/>
    <w:rsid w:val="00157CBF"/>
    <w:rsid w:val="00183F28"/>
    <w:rsid w:val="0018588C"/>
    <w:rsid w:val="001A6A0F"/>
    <w:rsid w:val="001C7F0D"/>
    <w:rsid w:val="001F1F05"/>
    <w:rsid w:val="00203B80"/>
    <w:rsid w:val="002171AE"/>
    <w:rsid w:val="00233FF6"/>
    <w:rsid w:val="00250120"/>
    <w:rsid w:val="002600C3"/>
    <w:rsid w:val="002646E3"/>
    <w:rsid w:val="00273593"/>
    <w:rsid w:val="00284B0A"/>
    <w:rsid w:val="00287596"/>
    <w:rsid w:val="002918F9"/>
    <w:rsid w:val="00296E8C"/>
    <w:rsid w:val="00296F67"/>
    <w:rsid w:val="002A7400"/>
    <w:rsid w:val="002D02F9"/>
    <w:rsid w:val="002E5E7C"/>
    <w:rsid w:val="00304F5C"/>
    <w:rsid w:val="003065CB"/>
    <w:rsid w:val="003065FD"/>
    <w:rsid w:val="00311FD4"/>
    <w:rsid w:val="00333720"/>
    <w:rsid w:val="00340E75"/>
    <w:rsid w:val="003623E4"/>
    <w:rsid w:val="00363F81"/>
    <w:rsid w:val="003643EF"/>
    <w:rsid w:val="003649E7"/>
    <w:rsid w:val="00381022"/>
    <w:rsid w:val="00382352"/>
    <w:rsid w:val="00382533"/>
    <w:rsid w:val="003837DD"/>
    <w:rsid w:val="00384CFF"/>
    <w:rsid w:val="003A6CBE"/>
    <w:rsid w:val="003A7FD7"/>
    <w:rsid w:val="003C53D8"/>
    <w:rsid w:val="003F1BB1"/>
    <w:rsid w:val="004121B5"/>
    <w:rsid w:val="004218D8"/>
    <w:rsid w:val="00423937"/>
    <w:rsid w:val="00432D94"/>
    <w:rsid w:val="004538AA"/>
    <w:rsid w:val="00470C67"/>
    <w:rsid w:val="004815D4"/>
    <w:rsid w:val="00483635"/>
    <w:rsid w:val="004B5DEB"/>
    <w:rsid w:val="004C0345"/>
    <w:rsid w:val="004C264D"/>
    <w:rsid w:val="004C5792"/>
    <w:rsid w:val="004D2A1B"/>
    <w:rsid w:val="004E26F8"/>
    <w:rsid w:val="004E606E"/>
    <w:rsid w:val="004F0A8E"/>
    <w:rsid w:val="00500449"/>
    <w:rsid w:val="00504B63"/>
    <w:rsid w:val="005144D7"/>
    <w:rsid w:val="00554659"/>
    <w:rsid w:val="005653D0"/>
    <w:rsid w:val="005A0AB8"/>
    <w:rsid w:val="005A6D61"/>
    <w:rsid w:val="005C0FEB"/>
    <w:rsid w:val="005C4D44"/>
    <w:rsid w:val="005C5C3A"/>
    <w:rsid w:val="00620332"/>
    <w:rsid w:val="00625D95"/>
    <w:rsid w:val="00640351"/>
    <w:rsid w:val="00652E44"/>
    <w:rsid w:val="00660A55"/>
    <w:rsid w:val="0068350A"/>
    <w:rsid w:val="006910CA"/>
    <w:rsid w:val="006922B4"/>
    <w:rsid w:val="006922E8"/>
    <w:rsid w:val="006A1883"/>
    <w:rsid w:val="006A5194"/>
    <w:rsid w:val="006C30B1"/>
    <w:rsid w:val="006E242C"/>
    <w:rsid w:val="006F731E"/>
    <w:rsid w:val="006F782C"/>
    <w:rsid w:val="00705675"/>
    <w:rsid w:val="00706A14"/>
    <w:rsid w:val="007110DA"/>
    <w:rsid w:val="00732281"/>
    <w:rsid w:val="00747462"/>
    <w:rsid w:val="00764EDE"/>
    <w:rsid w:val="007655E9"/>
    <w:rsid w:val="0078077E"/>
    <w:rsid w:val="00781E3E"/>
    <w:rsid w:val="0078474F"/>
    <w:rsid w:val="007859F7"/>
    <w:rsid w:val="007B0644"/>
    <w:rsid w:val="007B49F4"/>
    <w:rsid w:val="007B663B"/>
    <w:rsid w:val="007C3231"/>
    <w:rsid w:val="007D160A"/>
    <w:rsid w:val="007E25AB"/>
    <w:rsid w:val="00813085"/>
    <w:rsid w:val="00813DCA"/>
    <w:rsid w:val="0081429C"/>
    <w:rsid w:val="00815500"/>
    <w:rsid w:val="008163B1"/>
    <w:rsid w:val="00816A0E"/>
    <w:rsid w:val="0084194E"/>
    <w:rsid w:val="00842CE6"/>
    <w:rsid w:val="00851A28"/>
    <w:rsid w:val="00872A1D"/>
    <w:rsid w:val="008B0A9C"/>
    <w:rsid w:val="008E00C6"/>
    <w:rsid w:val="00920142"/>
    <w:rsid w:val="00921F1F"/>
    <w:rsid w:val="00923AE3"/>
    <w:rsid w:val="00931FA9"/>
    <w:rsid w:val="009430D9"/>
    <w:rsid w:val="00981745"/>
    <w:rsid w:val="00985D9D"/>
    <w:rsid w:val="009872B7"/>
    <w:rsid w:val="009B6E7E"/>
    <w:rsid w:val="009B7891"/>
    <w:rsid w:val="009D4FC9"/>
    <w:rsid w:val="009E3726"/>
    <w:rsid w:val="009E3D89"/>
    <w:rsid w:val="009F367A"/>
    <w:rsid w:val="009F611B"/>
    <w:rsid w:val="00A21F27"/>
    <w:rsid w:val="00A3241A"/>
    <w:rsid w:val="00A7113D"/>
    <w:rsid w:val="00A8654C"/>
    <w:rsid w:val="00AE5020"/>
    <w:rsid w:val="00AF0996"/>
    <w:rsid w:val="00B00696"/>
    <w:rsid w:val="00B134C9"/>
    <w:rsid w:val="00B150EF"/>
    <w:rsid w:val="00B218F9"/>
    <w:rsid w:val="00B32E31"/>
    <w:rsid w:val="00B550B4"/>
    <w:rsid w:val="00B65AEC"/>
    <w:rsid w:val="00B669E4"/>
    <w:rsid w:val="00B729F7"/>
    <w:rsid w:val="00BA1868"/>
    <w:rsid w:val="00BB6734"/>
    <w:rsid w:val="00BB7A9E"/>
    <w:rsid w:val="00BC1886"/>
    <w:rsid w:val="00BC2BF0"/>
    <w:rsid w:val="00BC402C"/>
    <w:rsid w:val="00BD46E2"/>
    <w:rsid w:val="00BE1ED4"/>
    <w:rsid w:val="00BE679C"/>
    <w:rsid w:val="00C00C71"/>
    <w:rsid w:val="00C02E23"/>
    <w:rsid w:val="00C15DE8"/>
    <w:rsid w:val="00C420EE"/>
    <w:rsid w:val="00C50B18"/>
    <w:rsid w:val="00C56763"/>
    <w:rsid w:val="00C875CF"/>
    <w:rsid w:val="00C87688"/>
    <w:rsid w:val="00CA3EB0"/>
    <w:rsid w:val="00CC0EF6"/>
    <w:rsid w:val="00CC34FE"/>
    <w:rsid w:val="00CC45E7"/>
    <w:rsid w:val="00CD66AD"/>
    <w:rsid w:val="00D03CFE"/>
    <w:rsid w:val="00D062E7"/>
    <w:rsid w:val="00D21986"/>
    <w:rsid w:val="00D41A35"/>
    <w:rsid w:val="00D552EB"/>
    <w:rsid w:val="00D707DB"/>
    <w:rsid w:val="00D74A16"/>
    <w:rsid w:val="00D77EC6"/>
    <w:rsid w:val="00D9223A"/>
    <w:rsid w:val="00DA11FD"/>
    <w:rsid w:val="00DB3CBC"/>
    <w:rsid w:val="00DE1DC9"/>
    <w:rsid w:val="00DE2CE2"/>
    <w:rsid w:val="00DE3B61"/>
    <w:rsid w:val="00DE4963"/>
    <w:rsid w:val="00DF5FDD"/>
    <w:rsid w:val="00E12F55"/>
    <w:rsid w:val="00E22266"/>
    <w:rsid w:val="00E244C4"/>
    <w:rsid w:val="00E30685"/>
    <w:rsid w:val="00E34337"/>
    <w:rsid w:val="00E40487"/>
    <w:rsid w:val="00E466AE"/>
    <w:rsid w:val="00E70960"/>
    <w:rsid w:val="00E81DCF"/>
    <w:rsid w:val="00EA3FA8"/>
    <w:rsid w:val="00EB0CD4"/>
    <w:rsid w:val="00EB1B1B"/>
    <w:rsid w:val="00EC670E"/>
    <w:rsid w:val="00F44966"/>
    <w:rsid w:val="00F456D3"/>
    <w:rsid w:val="00F56716"/>
    <w:rsid w:val="00F771A1"/>
    <w:rsid w:val="00F7729E"/>
    <w:rsid w:val="00F966A5"/>
    <w:rsid w:val="00FB59DC"/>
    <w:rsid w:val="00FB6558"/>
    <w:rsid w:val="00FC45FB"/>
    <w:rsid w:val="00FC4DB0"/>
    <w:rsid w:val="00FD0082"/>
    <w:rsid w:val="00FD1A92"/>
    <w:rsid w:val="00FD70AD"/>
    <w:rsid w:val="00FF0A0F"/>
    <w:rsid w:val="00FF27C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6">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8F9"/>
    <w:rPr>
      <w:sz w:val="22"/>
      <w:szCs w:val="22"/>
      <w:lang w:val="en-US" w:eastAsia="en-US"/>
    </w:rPr>
  </w:style>
  <w:style w:type="paragraph" w:styleId="Heading1">
    <w:name w:val="heading 1"/>
    <w:basedOn w:val="Normal"/>
    <w:next w:val="Normal"/>
    <w:link w:val="Heading1Char"/>
    <w:uiPriority w:val="9"/>
    <w:qFormat/>
    <w:rsid w:val="002501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50120"/>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200" w:line="276" w:lineRule="auto"/>
      <w:outlineLvl w:val="1"/>
    </w:pPr>
    <w:rPr>
      <w:rFonts w:asciiTheme="minorHAnsi" w:eastAsiaTheme="minorEastAsia" w:hAnsiTheme="minorHAnsi" w:cstheme="minorBidi"/>
      <w:caps/>
      <w:spacing w:val="15"/>
      <w:lang w:bidi="en-US"/>
    </w:rPr>
  </w:style>
  <w:style w:type="paragraph" w:styleId="Heading3">
    <w:name w:val="heading 3"/>
    <w:basedOn w:val="Normal"/>
    <w:next w:val="Normal"/>
    <w:link w:val="Heading3Char"/>
    <w:uiPriority w:val="9"/>
    <w:unhideWhenUsed/>
    <w:qFormat/>
    <w:rsid w:val="00250120"/>
    <w:pPr>
      <w:pBdr>
        <w:top w:val="single" w:sz="6" w:space="2" w:color="4F81BD" w:themeColor="accent1"/>
        <w:left w:val="single" w:sz="6" w:space="2" w:color="4F81BD" w:themeColor="accent1"/>
      </w:pBdr>
      <w:spacing w:before="300" w:line="276" w:lineRule="auto"/>
      <w:outlineLvl w:val="2"/>
    </w:pPr>
    <w:rPr>
      <w:rFonts w:asciiTheme="minorHAnsi" w:eastAsiaTheme="minorEastAsia" w:hAnsiTheme="minorHAnsi" w:cstheme="minorBidi"/>
      <w:caps/>
      <w:color w:val="243F60" w:themeColor="accent1" w:themeShade="7F"/>
      <w:spacing w:val="15"/>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3D89"/>
    <w:pPr>
      <w:tabs>
        <w:tab w:val="center" w:pos="4513"/>
        <w:tab w:val="right" w:pos="9026"/>
      </w:tabs>
    </w:pPr>
  </w:style>
  <w:style w:type="character" w:customStyle="1" w:styleId="HeaderChar">
    <w:name w:val="Header Char"/>
    <w:basedOn w:val="DefaultParagraphFont"/>
    <w:link w:val="Header"/>
    <w:uiPriority w:val="99"/>
    <w:rsid w:val="009E3D89"/>
  </w:style>
  <w:style w:type="paragraph" w:styleId="Footer">
    <w:name w:val="footer"/>
    <w:basedOn w:val="Normal"/>
    <w:link w:val="FooterChar"/>
    <w:uiPriority w:val="99"/>
    <w:unhideWhenUsed/>
    <w:rsid w:val="009E3D89"/>
    <w:pPr>
      <w:tabs>
        <w:tab w:val="center" w:pos="4513"/>
        <w:tab w:val="right" w:pos="9026"/>
      </w:tabs>
    </w:pPr>
  </w:style>
  <w:style w:type="character" w:customStyle="1" w:styleId="FooterChar">
    <w:name w:val="Footer Char"/>
    <w:basedOn w:val="DefaultParagraphFont"/>
    <w:link w:val="Footer"/>
    <w:uiPriority w:val="99"/>
    <w:rsid w:val="009E3D89"/>
  </w:style>
  <w:style w:type="paragraph" w:styleId="BalloonText">
    <w:name w:val="Balloon Text"/>
    <w:basedOn w:val="Normal"/>
    <w:link w:val="BalloonTextChar"/>
    <w:uiPriority w:val="99"/>
    <w:semiHidden/>
    <w:unhideWhenUsed/>
    <w:rsid w:val="009E3D89"/>
    <w:rPr>
      <w:rFonts w:ascii="Tahoma" w:hAnsi="Tahoma" w:cs="Tahoma"/>
      <w:sz w:val="16"/>
      <w:szCs w:val="16"/>
    </w:rPr>
  </w:style>
  <w:style w:type="character" w:customStyle="1" w:styleId="BalloonTextChar">
    <w:name w:val="Balloon Text Char"/>
    <w:basedOn w:val="DefaultParagraphFont"/>
    <w:link w:val="BalloonText"/>
    <w:uiPriority w:val="99"/>
    <w:semiHidden/>
    <w:rsid w:val="009E3D89"/>
    <w:rPr>
      <w:rFonts w:ascii="Tahoma" w:hAnsi="Tahoma" w:cs="Tahoma"/>
      <w:sz w:val="16"/>
      <w:szCs w:val="16"/>
    </w:rPr>
  </w:style>
  <w:style w:type="paragraph" w:styleId="ListParagraph">
    <w:name w:val="List Paragraph"/>
    <w:basedOn w:val="Normal"/>
    <w:qFormat/>
    <w:rsid w:val="00921F1F"/>
    <w:pPr>
      <w:ind w:left="720"/>
      <w:contextualSpacing/>
    </w:pPr>
    <w:rPr>
      <w:rFonts w:asciiTheme="minorHAnsi" w:eastAsiaTheme="minorHAnsi" w:hAnsiTheme="minorHAnsi" w:cstheme="minorBidi"/>
      <w:lang w:val="en-AU"/>
    </w:rPr>
  </w:style>
  <w:style w:type="character" w:customStyle="1" w:styleId="Heading2Char">
    <w:name w:val="Heading 2 Char"/>
    <w:basedOn w:val="DefaultParagraphFont"/>
    <w:link w:val="Heading2"/>
    <w:uiPriority w:val="9"/>
    <w:rsid w:val="00250120"/>
    <w:rPr>
      <w:rFonts w:asciiTheme="minorHAnsi" w:eastAsiaTheme="minorEastAsia" w:hAnsiTheme="minorHAnsi" w:cstheme="minorBidi"/>
      <w:caps/>
      <w:spacing w:val="15"/>
      <w:sz w:val="22"/>
      <w:szCs w:val="22"/>
      <w:shd w:val="clear" w:color="auto" w:fill="DBE5F1" w:themeFill="accent1" w:themeFillTint="33"/>
      <w:lang w:val="en-US" w:eastAsia="en-US" w:bidi="en-US"/>
    </w:rPr>
  </w:style>
  <w:style w:type="character" w:customStyle="1" w:styleId="Heading3Char">
    <w:name w:val="Heading 3 Char"/>
    <w:basedOn w:val="DefaultParagraphFont"/>
    <w:link w:val="Heading3"/>
    <w:uiPriority w:val="9"/>
    <w:rsid w:val="00250120"/>
    <w:rPr>
      <w:rFonts w:asciiTheme="minorHAnsi" w:eastAsiaTheme="minorEastAsia" w:hAnsiTheme="minorHAnsi" w:cstheme="minorBidi"/>
      <w:caps/>
      <w:color w:val="243F60" w:themeColor="accent1" w:themeShade="7F"/>
      <w:spacing w:val="15"/>
      <w:sz w:val="22"/>
      <w:szCs w:val="22"/>
      <w:lang w:val="en-US" w:eastAsia="en-US" w:bidi="en-US"/>
    </w:rPr>
  </w:style>
  <w:style w:type="character" w:customStyle="1" w:styleId="Heading1Char">
    <w:name w:val="Heading 1 Char"/>
    <w:basedOn w:val="DefaultParagraphFont"/>
    <w:link w:val="Heading1"/>
    <w:uiPriority w:val="9"/>
    <w:rsid w:val="00250120"/>
    <w:rPr>
      <w:rFonts w:asciiTheme="majorHAnsi" w:eastAsiaTheme="majorEastAsia" w:hAnsiTheme="majorHAnsi" w:cstheme="majorBidi"/>
      <w:b/>
      <w:bCs/>
      <w:color w:val="365F91" w:themeColor="accent1" w:themeShade="BF"/>
      <w:sz w:val="28"/>
      <w:szCs w:val="28"/>
      <w:lang w:val="en-US" w:eastAsia="en-US"/>
    </w:rPr>
  </w:style>
  <w:style w:type="paragraph" w:styleId="TOCHeading">
    <w:name w:val="TOC Heading"/>
    <w:basedOn w:val="Heading1"/>
    <w:next w:val="Normal"/>
    <w:uiPriority w:val="39"/>
    <w:unhideWhenUsed/>
    <w:qFormat/>
    <w:rsid w:val="00250120"/>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line="276" w:lineRule="auto"/>
      <w:outlineLvl w:val="9"/>
    </w:pPr>
    <w:rPr>
      <w:rFonts w:asciiTheme="minorHAnsi" w:eastAsiaTheme="minorEastAsia" w:hAnsiTheme="minorHAnsi" w:cstheme="minorBidi"/>
      <w:caps/>
      <w:color w:val="FFFFFF" w:themeColor="background1"/>
      <w:spacing w:val="15"/>
      <w:sz w:val="22"/>
      <w:szCs w:val="22"/>
      <w:lang w:bidi="en-US"/>
    </w:rPr>
  </w:style>
  <w:style w:type="table" w:customStyle="1" w:styleId="LightShading-Accent11">
    <w:name w:val="Light Shading - Accent 11"/>
    <w:basedOn w:val="TableNormal"/>
    <w:uiPriority w:val="60"/>
    <w:rsid w:val="00250120"/>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2">
    <w:name w:val="toc 2"/>
    <w:basedOn w:val="Normal"/>
    <w:next w:val="Normal"/>
    <w:autoRedefine/>
    <w:uiPriority w:val="39"/>
    <w:unhideWhenUsed/>
    <w:qFormat/>
    <w:rsid w:val="00250120"/>
    <w:pPr>
      <w:spacing w:before="200" w:after="100" w:line="276" w:lineRule="auto"/>
      <w:ind w:left="200"/>
    </w:pPr>
    <w:rPr>
      <w:rFonts w:asciiTheme="minorHAnsi" w:eastAsiaTheme="minorEastAsia" w:hAnsiTheme="minorHAnsi" w:cstheme="minorBidi"/>
      <w:sz w:val="20"/>
      <w:szCs w:val="20"/>
      <w:lang w:bidi="en-US"/>
    </w:rPr>
  </w:style>
  <w:style w:type="paragraph" w:styleId="TOC3">
    <w:name w:val="toc 3"/>
    <w:basedOn w:val="Normal"/>
    <w:next w:val="Normal"/>
    <w:autoRedefine/>
    <w:uiPriority w:val="39"/>
    <w:unhideWhenUsed/>
    <w:qFormat/>
    <w:rsid w:val="00250120"/>
    <w:pPr>
      <w:spacing w:before="200" w:after="100" w:line="276" w:lineRule="auto"/>
      <w:ind w:left="400"/>
    </w:pPr>
    <w:rPr>
      <w:rFonts w:asciiTheme="minorHAnsi" w:eastAsiaTheme="minorEastAsia" w:hAnsiTheme="minorHAnsi" w:cstheme="minorBidi"/>
      <w:sz w:val="20"/>
      <w:szCs w:val="20"/>
      <w:lang w:bidi="en-US"/>
    </w:rPr>
  </w:style>
  <w:style w:type="character" w:styleId="Hyperlink">
    <w:name w:val="Hyperlink"/>
    <w:basedOn w:val="DefaultParagraphFont"/>
    <w:uiPriority w:val="99"/>
    <w:unhideWhenUsed/>
    <w:rsid w:val="00250120"/>
    <w:rPr>
      <w:color w:val="0000FF" w:themeColor="hyperlink"/>
      <w:u w:val="single"/>
    </w:rPr>
  </w:style>
  <w:style w:type="table" w:customStyle="1" w:styleId="LightShading-Accent111">
    <w:name w:val="Light Shading - Accent 111"/>
    <w:basedOn w:val="TableNormal"/>
    <w:uiPriority w:val="60"/>
    <w:rsid w:val="0092014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Grid">
    <w:name w:val="Table Grid"/>
    <w:basedOn w:val="TableNormal"/>
    <w:uiPriority w:val="59"/>
    <w:rsid w:val="00985D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AHeading2">
    <w:name w:val="EA_Heading 2"/>
    <w:basedOn w:val="Normal"/>
    <w:link w:val="EAHeading2Char"/>
    <w:qFormat/>
    <w:rsid w:val="00423937"/>
    <w:pPr>
      <w:spacing w:after="120" w:line="360" w:lineRule="auto"/>
      <w:outlineLvl w:val="1"/>
    </w:pPr>
    <w:rPr>
      <w:rFonts w:ascii="Century Gothic" w:eastAsiaTheme="minorHAnsi" w:hAnsi="Century Gothic" w:cstheme="minorBidi"/>
      <w:b/>
      <w:sz w:val="36"/>
      <w:szCs w:val="36"/>
      <w:lang w:val="en-AU"/>
    </w:rPr>
  </w:style>
  <w:style w:type="character" w:customStyle="1" w:styleId="EAHeading2Char">
    <w:name w:val="EA_Heading 2 Char"/>
    <w:basedOn w:val="DefaultParagraphFont"/>
    <w:link w:val="EAHeading2"/>
    <w:rsid w:val="00423937"/>
    <w:rPr>
      <w:rFonts w:ascii="Century Gothic" w:eastAsiaTheme="minorHAnsi" w:hAnsi="Century Gothic" w:cstheme="minorBidi"/>
      <w:b/>
      <w:sz w:val="36"/>
      <w:szCs w:val="36"/>
      <w:lang w:eastAsia="en-US"/>
    </w:rPr>
  </w:style>
  <w:style w:type="paragraph" w:customStyle="1" w:styleId="EABodyText">
    <w:name w:val="EA_Body Text"/>
    <w:basedOn w:val="Normal"/>
    <w:link w:val="EABodyTextChar"/>
    <w:qFormat/>
    <w:rsid w:val="00423937"/>
    <w:pPr>
      <w:spacing w:after="120" w:line="360" w:lineRule="auto"/>
    </w:pPr>
    <w:rPr>
      <w:rFonts w:ascii="Century Gothic" w:eastAsiaTheme="minorHAnsi" w:hAnsi="Century Gothic" w:cstheme="minorBidi"/>
      <w:lang w:val="en-AU"/>
    </w:rPr>
  </w:style>
  <w:style w:type="character" w:customStyle="1" w:styleId="EABodyTextChar">
    <w:name w:val="EA_Body Text Char"/>
    <w:basedOn w:val="DefaultParagraphFont"/>
    <w:link w:val="EABodyText"/>
    <w:rsid w:val="00423937"/>
    <w:rPr>
      <w:rFonts w:ascii="Century Gothic" w:eastAsiaTheme="minorHAnsi" w:hAnsi="Century Gothic" w:cstheme="minorBidi"/>
      <w:sz w:val="22"/>
      <w:szCs w:val="22"/>
      <w:lang w:eastAsia="en-US"/>
    </w:rPr>
  </w:style>
  <w:style w:type="paragraph" w:styleId="TOC1">
    <w:name w:val="toc 1"/>
    <w:basedOn w:val="Normal"/>
    <w:next w:val="Normal"/>
    <w:autoRedefine/>
    <w:uiPriority w:val="39"/>
    <w:unhideWhenUsed/>
    <w:qFormat/>
    <w:rsid w:val="005C0FEB"/>
    <w:pPr>
      <w:spacing w:after="100"/>
    </w:pPr>
  </w:style>
</w:styles>
</file>

<file path=word/webSettings.xml><?xml version="1.0" encoding="utf-8"?>
<w:webSettings xmlns:r="http://schemas.openxmlformats.org/officeDocument/2006/relationships" xmlns:w="http://schemas.openxmlformats.org/wordprocessingml/2006/main">
  <w:divs>
    <w:div w:id="1627590063">
      <w:bodyDiv w:val="1"/>
      <w:marLeft w:val="0"/>
      <w:marRight w:val="0"/>
      <w:marTop w:val="0"/>
      <w:marBottom w:val="0"/>
      <w:divBdr>
        <w:top w:val="none" w:sz="0" w:space="0" w:color="auto"/>
        <w:left w:val="none" w:sz="0" w:space="0" w:color="auto"/>
        <w:bottom w:val="none" w:sz="0" w:space="0" w:color="auto"/>
        <w:right w:val="none" w:sz="0" w:space="0" w:color="auto"/>
      </w:divBdr>
      <w:divsChild>
        <w:div w:id="809176911">
          <w:marLeft w:val="0"/>
          <w:marRight w:val="0"/>
          <w:marTop w:val="0"/>
          <w:marBottom w:val="0"/>
          <w:divBdr>
            <w:top w:val="none" w:sz="0" w:space="0" w:color="auto"/>
            <w:left w:val="none" w:sz="0" w:space="0" w:color="auto"/>
            <w:bottom w:val="none" w:sz="0" w:space="0" w:color="auto"/>
            <w:right w:val="none" w:sz="0" w:space="0" w:color="auto"/>
          </w:divBdr>
          <w:divsChild>
            <w:div w:id="588779095">
              <w:marLeft w:val="0"/>
              <w:marRight w:val="0"/>
              <w:marTop w:val="0"/>
              <w:marBottom w:val="0"/>
              <w:divBdr>
                <w:top w:val="none" w:sz="0" w:space="0" w:color="auto"/>
                <w:left w:val="none" w:sz="0" w:space="0" w:color="auto"/>
                <w:bottom w:val="none" w:sz="0" w:space="0" w:color="auto"/>
                <w:right w:val="none" w:sz="0" w:space="0" w:color="auto"/>
              </w:divBdr>
              <w:divsChild>
                <w:div w:id="2118021392">
                  <w:marLeft w:val="0"/>
                  <w:marRight w:val="0"/>
                  <w:marTop w:val="0"/>
                  <w:marBottom w:val="0"/>
                  <w:divBdr>
                    <w:top w:val="none" w:sz="0" w:space="0" w:color="auto"/>
                    <w:left w:val="none" w:sz="0" w:space="0" w:color="auto"/>
                    <w:bottom w:val="none" w:sz="0" w:space="0" w:color="auto"/>
                    <w:right w:val="none" w:sz="0" w:space="0" w:color="auto"/>
                  </w:divBdr>
                  <w:divsChild>
                    <w:div w:id="355695955">
                      <w:marLeft w:val="0"/>
                      <w:marRight w:val="0"/>
                      <w:marTop w:val="0"/>
                      <w:marBottom w:val="0"/>
                      <w:divBdr>
                        <w:top w:val="none" w:sz="0" w:space="0" w:color="auto"/>
                        <w:left w:val="none" w:sz="0" w:space="0" w:color="auto"/>
                        <w:bottom w:val="none" w:sz="0" w:space="0" w:color="auto"/>
                        <w:right w:val="none" w:sz="0" w:space="0" w:color="auto"/>
                      </w:divBdr>
                      <w:divsChild>
                        <w:div w:id="502627420">
                          <w:marLeft w:val="0"/>
                          <w:marRight w:val="0"/>
                          <w:marTop w:val="0"/>
                          <w:marBottom w:val="0"/>
                          <w:divBdr>
                            <w:top w:val="none" w:sz="0" w:space="0" w:color="auto"/>
                            <w:left w:val="none" w:sz="0" w:space="0" w:color="auto"/>
                            <w:bottom w:val="none" w:sz="0" w:space="0" w:color="auto"/>
                            <w:right w:val="none" w:sz="0" w:space="0" w:color="auto"/>
                          </w:divBdr>
                          <w:divsChild>
                            <w:div w:id="1057510500">
                              <w:marLeft w:val="0"/>
                              <w:marRight w:val="0"/>
                              <w:marTop w:val="0"/>
                              <w:marBottom w:val="0"/>
                              <w:divBdr>
                                <w:top w:val="none" w:sz="0" w:space="0" w:color="auto"/>
                                <w:left w:val="none" w:sz="0" w:space="0" w:color="auto"/>
                                <w:bottom w:val="none" w:sz="0" w:space="0" w:color="auto"/>
                                <w:right w:val="none" w:sz="0" w:space="0" w:color="auto"/>
                              </w:divBdr>
                              <w:divsChild>
                                <w:div w:id="2131628638">
                                  <w:marLeft w:val="0"/>
                                  <w:marRight w:val="0"/>
                                  <w:marTop w:val="0"/>
                                  <w:marBottom w:val="0"/>
                                  <w:divBdr>
                                    <w:top w:val="none" w:sz="0" w:space="0" w:color="auto"/>
                                    <w:left w:val="none" w:sz="0" w:space="0" w:color="auto"/>
                                    <w:bottom w:val="none" w:sz="0" w:space="0" w:color="auto"/>
                                    <w:right w:val="none" w:sz="0" w:space="0" w:color="auto"/>
                                  </w:divBdr>
                                  <w:divsChild>
                                    <w:div w:id="16247735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us\AppData\Roaming\Microsoft\Templates\Scancorp%20Templates\Scancorp%20Word%20Template%20-%20Sept%202012%20v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AD5305-31FD-4D3B-904C-02AB0CF31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Scancorp Word Template - Sept 2012 v1</Template>
  <TotalTime>18</TotalTime>
  <Pages>3</Pages>
  <Words>1213</Words>
  <Characters>6299</Characters>
  <Application>Microsoft Office Word</Application>
  <DocSecurity>0</DocSecurity>
  <Lines>123</Lines>
  <Paragraphs>70</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7442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Marcus Salouk</dc:creator>
  <cp:lastModifiedBy>Marcus Salouk</cp:lastModifiedBy>
  <cp:revision>5</cp:revision>
  <cp:lastPrinted>2013-08-09T00:44:00Z</cp:lastPrinted>
  <dcterms:created xsi:type="dcterms:W3CDTF">2013-08-10T06:21:00Z</dcterms:created>
  <dcterms:modified xsi:type="dcterms:W3CDTF">2013-08-10T06:43:00Z</dcterms:modified>
</cp:coreProperties>
</file>